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6E8493AF" w:rsidR="003728B6" w:rsidRPr="00ED0A6E" w:rsidRDefault="00416216" w:rsidP="000707E3">
            <w:r w:rsidRPr="00416216">
              <w:t>Development of a Multi-Scale Self-Healing High-Volume Fly Ash UHPC</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55738E60" w:rsidR="003728B6" w:rsidRPr="000707E3" w:rsidRDefault="00CA5BB9" w:rsidP="000707E3">
            <w:r w:rsidRPr="000707E3">
              <w:t>Washington State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4F961249" w:rsidR="003728B6" w:rsidRPr="00ED0A6E" w:rsidRDefault="00CA5BB9" w:rsidP="00ED0A6E">
            <w:r>
              <w:t>Xianming Shi</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4EE748BA" w14:textId="77777777" w:rsidR="00CA5BB9" w:rsidRDefault="00CA5BB9" w:rsidP="00CA5BB9">
            <w:r>
              <w:t>Phone: 509-335-7088</w:t>
            </w:r>
          </w:p>
          <w:p w14:paraId="180F0C0E" w14:textId="19DDEDED" w:rsidR="003728B6" w:rsidRPr="00ED0A6E" w:rsidRDefault="00CA5BB9" w:rsidP="00CA5BB9">
            <w:r>
              <w:t>Email: xianming.shi@wsu.edu;</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51E08C12" w14:textId="26012064" w:rsidR="003728B6" w:rsidRPr="00ED0A6E" w:rsidRDefault="00CA5BB9" w:rsidP="00ED0A6E">
            <w:r>
              <w:t xml:space="preserve">UTC funding and </w:t>
            </w:r>
            <w:r w:rsidRPr="00CA5BB9">
              <w:t>Matching Funds</w:t>
            </w:r>
            <w:r>
              <w:t xml:space="preserve"> from Washington State University</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5B53C654" w:rsidR="00F40498" w:rsidRPr="000707E3" w:rsidRDefault="00CA5BB9" w:rsidP="00ED0A6E">
            <w:r w:rsidRPr="000707E3">
              <w:t>$108,000</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33EC10C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6F2E1510" w:rsidR="003728B6" w:rsidRPr="00ED0A6E" w:rsidRDefault="007A0A88" w:rsidP="00ED0A6E">
            <w:r>
              <w:t>05/01/2020 – 0</w:t>
            </w:r>
            <w:r w:rsidR="00AA0442">
              <w:t>3</w:t>
            </w:r>
            <w:r>
              <w:t>/31/202</w:t>
            </w:r>
            <w:r w:rsidR="00AA0442">
              <w:t>4</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501D3C58" w14:textId="77777777" w:rsidR="006D6F14" w:rsidRDefault="006D6F14" w:rsidP="006D6F14">
            <w:pPr>
              <w:pStyle w:val="ListParagraph"/>
              <w:spacing w:line="276" w:lineRule="auto"/>
              <w:jc w:val="both"/>
            </w:pPr>
            <w:r>
              <w:t xml:space="preserve">Despite its higher initial cost than conventional concrete, ultra-high performance concrete (UHPC) is gaining popularity in applications such as prefabricated connections, bridge decks, beams, girders, pile foundations, thin-wall shell structures, encasement of corroded steel girders, and encasement of substandard or corroded columns. The durability of UHPC is challenged once cracks are generated in the UHPC structural members. The high materials cost of UHPC also limits its wide application in pavement and other civil infrastructures. In this context, the overarching goal of this project is to design a cost-effective UHPC featuring the use of high volume fly ash (HVFA) binder and ability to heal the cracks when and where needed. The multiscale self-healing ability of the HVFA UHPC will be achieved through the combined use of microcapsules and light-weight aggregate (LWA), </w:t>
            </w:r>
            <w:proofErr w:type="gramStart"/>
            <w:r>
              <w:t>so as to</w:t>
            </w:r>
            <w:proofErr w:type="gramEnd"/>
            <w:r>
              <w:t xml:space="preserve"> maintain the superior durability of the UHPC. To this end, this exploratory laboratory investigation aims to:</w:t>
            </w:r>
          </w:p>
          <w:p w14:paraId="0CA0E4DF" w14:textId="654271D6" w:rsidR="006D6F14" w:rsidRDefault="006D6F14" w:rsidP="006D6F14">
            <w:pPr>
              <w:pStyle w:val="ListParagraph"/>
              <w:spacing w:line="276" w:lineRule="auto"/>
              <w:jc w:val="both"/>
            </w:pPr>
            <w:r>
              <w:t>1) design healing agents and multi-dimensional microcapsules and LWAs to heal cracks with different widths</w:t>
            </w:r>
          </w:p>
          <w:p w14:paraId="1378FDE1" w14:textId="02EB5DEF" w:rsidR="006D6F14" w:rsidRDefault="006D6F14" w:rsidP="006D6F14">
            <w:pPr>
              <w:pStyle w:val="ListParagraph"/>
              <w:spacing w:line="276" w:lineRule="auto"/>
              <w:jc w:val="both"/>
            </w:pPr>
            <w:r>
              <w:t>2) identify cost-effective mix designs for UHPC with the use of HVFA binder</w:t>
            </w:r>
          </w:p>
          <w:p w14:paraId="23B0636D" w14:textId="21522E50" w:rsidR="006D6F14" w:rsidRDefault="006D6F14" w:rsidP="006D6F14">
            <w:pPr>
              <w:pStyle w:val="ListParagraph"/>
              <w:spacing w:line="276" w:lineRule="auto"/>
              <w:jc w:val="both"/>
            </w:pPr>
            <w:r>
              <w:t xml:space="preserve">3) evaluate the self-healing effectiveness of dog-bone shape HVFA UHPC specimens, using the direct tensile test and digital image </w:t>
            </w:r>
            <w:r>
              <w:lastRenderedPageBreak/>
              <w:t xml:space="preserve">correlation technique. </w:t>
            </w:r>
          </w:p>
          <w:p w14:paraId="65F0E8C0" w14:textId="40E31966" w:rsidR="000677AE" w:rsidRPr="00ED0A6E" w:rsidRDefault="006D6F14" w:rsidP="006D6F14">
            <w:pPr>
              <w:pStyle w:val="ListParagraph"/>
              <w:spacing w:line="276" w:lineRule="auto"/>
              <w:jc w:val="both"/>
            </w:pPr>
            <w:r>
              <w:t xml:space="preserve">The specific design of this novel UHPC is as follows. Different sizes of polymeric microcapsules (with inorganic </w:t>
            </w:r>
            <w:proofErr w:type="spellStart"/>
            <w:r>
              <w:t>healant</w:t>
            </w:r>
            <w:proofErr w:type="spellEnd"/>
            <w:r>
              <w:t>) are obtained through a water-in-oil suspension polymerization technique and LWAs are encapsulated with a modified polymer coating. The healing agents incorporating a novel nano-material, graphene oxide (GO), are synthesized to improve the healing efficiency of cracked UHPC. More crystals are expected to form inside the cracks and provide comparable strength as the intact part, so that the tensile properties of cracked UHPC can be greatly recovered after self-healing.</w:t>
            </w:r>
          </w:p>
        </w:tc>
      </w:tr>
      <w:tr w:rsidR="003728B6" w14:paraId="61AB68A9" w14:textId="77777777" w:rsidTr="00ED4EC8">
        <w:trPr>
          <w:trHeight w:val="2114"/>
        </w:trPr>
        <w:tc>
          <w:tcPr>
            <w:tcW w:w="2606" w:type="dxa"/>
          </w:tcPr>
          <w:p w14:paraId="40F8C2B9" w14:textId="567FFE90" w:rsidR="00B15A3F" w:rsidRDefault="000677AE" w:rsidP="00ED0A6E">
            <w:r w:rsidRPr="00ED0A6E">
              <w:lastRenderedPageBreak/>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56A242AE" w:rsidR="003728B6" w:rsidRPr="00BA72B7" w:rsidRDefault="00ED4EC8" w:rsidP="009F1B87">
            <w:pPr>
              <w:jc w:val="both"/>
              <w:rPr>
                <w:vertAlign w:val="subscript"/>
              </w:rPr>
            </w:pPr>
            <w:r>
              <w:t>Building on the success of this research, the team will work closely with local communities/agencies to apply the cost-effective and self-healing UHPC to replace the old concrete infrastructure at a selected location on Washington State University (WSU) campus or around the local area. Prospective users of the research product include highway agencies, local mix concrete suppliers (e.g., Pre-Mix Inc.), and other stakeholders related to strengthening and maintenance of concrete infrastructure.</w:t>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19ED0973" w:rsidR="003728B6" w:rsidRPr="00ED0A6E" w:rsidRDefault="00ED4EC8" w:rsidP="00ED0A6E">
            <w:r>
              <w:t xml:space="preserve">Increasing use of coal fly ashes in UHPC will divert them from waste stream and landfill as well as reduce greenhouse gas emissions and environmental contamination. High-volume substitution of cement by coal fly ash and finer masonry sand by river sand can substantially reduce the unit cost of UHPC and promote its wide application to civil infrastructures like bridge deck and columns, pavement overlay, and </w:t>
            </w:r>
            <w:proofErr w:type="spellStart"/>
            <w:r>
              <w:t>turnel</w:t>
            </w:r>
            <w:proofErr w:type="spellEnd"/>
            <w:r>
              <w:t xml:space="preserve"> lining. The self-healing technique can mitigate the development of cracks, enhance the long-term durability of UHPC, and especially extend its potential applications in harsh environments (e.g., underground with high pressure, offshores or coast lines with high chloride contents, arctic areas with extreme low temperature, and desert areas with large temperature difference </w:t>
            </w:r>
            <w:proofErr w:type="spellStart"/>
            <w:r>
              <w:t>bewteen</w:t>
            </w:r>
            <w:proofErr w:type="spellEnd"/>
            <w:r>
              <w:t xml:space="preserve"> day and night). Finally, reducing the adverse effects induced by cracks will prolong the service life of UHPC structure and reduce the costs for maintenance and repair in the long run.</w:t>
            </w:r>
          </w:p>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08522EA0" w14:textId="4482C7D8" w:rsidR="000923CD" w:rsidRDefault="00000000" w:rsidP="00416216">
            <w:hyperlink r:id="rId6" w:history="1">
              <w:r w:rsidR="00416216" w:rsidRPr="000B1174">
                <w:rPr>
                  <w:rStyle w:val="Hyperlink"/>
                </w:rPr>
                <w:t>https://tridurle.wsu.edu/development-of-multi-scale-self-healing-high-volume-fly-ash-uhpc/</w:t>
              </w:r>
            </w:hyperlink>
          </w:p>
          <w:p w14:paraId="1251B657" w14:textId="43CF71EB" w:rsidR="00416216" w:rsidRPr="00416216" w:rsidRDefault="00416216" w:rsidP="00416216">
            <w:pPr>
              <w:rPr>
                <w:rFonts w:ascii="Times New Roman" w:hAnsi="Times New Roman" w:cs="Times New Roman"/>
              </w:rPr>
            </w:pPr>
          </w:p>
        </w:tc>
      </w:tr>
    </w:tbl>
    <w:p w14:paraId="1D2C9A7C" w14:textId="28738CC0" w:rsidR="00F717A2" w:rsidRDefault="00F717A2" w:rsidP="002A5167"/>
    <w:p w14:paraId="73EB6B67" w14:textId="3715BA2E" w:rsidR="000707E3" w:rsidRDefault="0053234F" w:rsidP="002A5167">
      <w:r>
        <w:rPr>
          <w:noProof/>
        </w:rPr>
        <w:lastRenderedPageBreak/>
        <w:drawing>
          <wp:inline distT="0" distB="0" distL="0" distR="0" wp14:anchorId="16FB7971" wp14:editId="55EAE705">
            <wp:extent cx="6853555" cy="26289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3555" cy="2628900"/>
                    </a:xfrm>
                    <a:prstGeom prst="rect">
                      <a:avLst/>
                    </a:prstGeom>
                    <a:noFill/>
                    <a:ln>
                      <a:noFill/>
                    </a:ln>
                  </pic:spPr>
                </pic:pic>
              </a:graphicData>
            </a:graphic>
          </wp:inline>
        </w:drawing>
      </w:r>
    </w:p>
    <w:sectPr w:rsidR="000707E3"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DE3579"/>
    <w:multiLevelType w:val="hybridMultilevel"/>
    <w:tmpl w:val="1126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452154">
    <w:abstractNumId w:val="0"/>
  </w:num>
  <w:num w:numId="2" w16cid:durableId="351146687">
    <w:abstractNumId w:val="1"/>
  </w:num>
  <w:num w:numId="3" w16cid:durableId="145464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zQ2NTW0sLQ0NDFV0lEKTi0uzszPAykwqgUA3MzrGywAAAA="/>
  </w:docVars>
  <w:rsids>
    <w:rsidRoot w:val="003728B6"/>
    <w:rsid w:val="000677AE"/>
    <w:rsid w:val="000707E3"/>
    <w:rsid w:val="000923CD"/>
    <w:rsid w:val="00110F6F"/>
    <w:rsid w:val="001E3689"/>
    <w:rsid w:val="002A5167"/>
    <w:rsid w:val="00322E60"/>
    <w:rsid w:val="003728B6"/>
    <w:rsid w:val="003D1416"/>
    <w:rsid w:val="00416216"/>
    <w:rsid w:val="0042363E"/>
    <w:rsid w:val="0053234F"/>
    <w:rsid w:val="00656E5D"/>
    <w:rsid w:val="006D6F14"/>
    <w:rsid w:val="007A0A88"/>
    <w:rsid w:val="008507B9"/>
    <w:rsid w:val="008906B7"/>
    <w:rsid w:val="0089351C"/>
    <w:rsid w:val="009912CA"/>
    <w:rsid w:val="009A3B89"/>
    <w:rsid w:val="009F1B87"/>
    <w:rsid w:val="009F6A4A"/>
    <w:rsid w:val="00A1173B"/>
    <w:rsid w:val="00A827AC"/>
    <w:rsid w:val="00AA0442"/>
    <w:rsid w:val="00B10EEE"/>
    <w:rsid w:val="00B15A3F"/>
    <w:rsid w:val="00B341C2"/>
    <w:rsid w:val="00B5457E"/>
    <w:rsid w:val="00B9166F"/>
    <w:rsid w:val="00BA72B7"/>
    <w:rsid w:val="00BC6D98"/>
    <w:rsid w:val="00CA5BB9"/>
    <w:rsid w:val="00D071DB"/>
    <w:rsid w:val="00D36DAC"/>
    <w:rsid w:val="00D44D7E"/>
    <w:rsid w:val="00DB7D23"/>
    <w:rsid w:val="00ED0A6E"/>
    <w:rsid w:val="00ED4EC8"/>
    <w:rsid w:val="00EF0EAF"/>
    <w:rsid w:val="00F40498"/>
    <w:rsid w:val="00F61418"/>
    <w:rsid w:val="00F717A2"/>
    <w:rsid w:val="00F82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A827AC"/>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827AC"/>
    <w:rPr>
      <w:color w:val="0000FF" w:themeColor="hyperlink"/>
      <w:u w:val="single"/>
    </w:rPr>
  </w:style>
  <w:style w:type="character" w:customStyle="1" w:styleId="UnresolvedMention1">
    <w:name w:val="Unresolved Mention1"/>
    <w:basedOn w:val="DefaultParagraphFont"/>
    <w:uiPriority w:val="99"/>
    <w:semiHidden/>
    <w:unhideWhenUsed/>
    <w:rsid w:val="00A827AC"/>
    <w:rPr>
      <w:color w:val="605E5C"/>
      <w:shd w:val="clear" w:color="auto" w:fill="E1DFDD"/>
    </w:rPr>
  </w:style>
  <w:style w:type="paragraph" w:styleId="BalloonText">
    <w:name w:val="Balloon Text"/>
    <w:basedOn w:val="Normal"/>
    <w:link w:val="BalloonTextChar"/>
    <w:uiPriority w:val="99"/>
    <w:semiHidden/>
    <w:unhideWhenUsed/>
    <w:rsid w:val="00B5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7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8381">
      <w:bodyDiv w:val="1"/>
      <w:marLeft w:val="0"/>
      <w:marRight w:val="0"/>
      <w:marTop w:val="0"/>
      <w:marBottom w:val="0"/>
      <w:divBdr>
        <w:top w:val="none" w:sz="0" w:space="0" w:color="auto"/>
        <w:left w:val="none" w:sz="0" w:space="0" w:color="auto"/>
        <w:bottom w:val="none" w:sz="0" w:space="0" w:color="auto"/>
        <w:right w:val="none" w:sz="0" w:space="0" w:color="auto"/>
      </w:divBdr>
    </w:div>
    <w:div w:id="111293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idurle.wsu.edu/development-of-multi-scale-self-healing-high-volume-fly-ash-uhpc/"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He, Jialuo</cp:lastModifiedBy>
  <cp:revision>7</cp:revision>
  <cp:lastPrinted>2020-04-28T22:27:00Z</cp:lastPrinted>
  <dcterms:created xsi:type="dcterms:W3CDTF">2020-08-13T02:43:00Z</dcterms:created>
  <dcterms:modified xsi:type="dcterms:W3CDTF">2023-09-12T07:23:00Z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