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BBEF7" w14:textId="1B6D83EE" w:rsidR="000677AE" w:rsidRDefault="00F61418" w:rsidP="00F61418">
      <w:pPr>
        <w:pStyle w:val="BodyText"/>
        <w:spacing w:before="5"/>
        <w:jc w:val="center"/>
        <w:rPr>
          <w:sz w:val="22"/>
        </w:rPr>
      </w:pPr>
      <w:r>
        <w:rPr>
          <w:noProof/>
          <w:sz w:val="22"/>
          <w:lang w:eastAsia="zh-CN"/>
        </w:rPr>
        <w:drawing>
          <wp:inline distT="0" distB="0" distL="0" distR="0" wp14:anchorId="478B7732" wp14:editId="1C4C81D1">
            <wp:extent cx="3371850" cy="9689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durle-Logo.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02697" cy="977831"/>
                    </a:xfrm>
                    <a:prstGeom prst="rect">
                      <a:avLst/>
                    </a:prstGeom>
                  </pic:spPr>
                </pic:pic>
              </a:graphicData>
            </a:graphic>
          </wp:inline>
        </w:drawing>
      </w:r>
    </w:p>
    <w:p w14:paraId="536AFE74" w14:textId="4AB07C6F" w:rsidR="00F61418" w:rsidRDefault="00F61418">
      <w:pPr>
        <w:pStyle w:val="BodyText"/>
        <w:spacing w:before="5"/>
        <w:rPr>
          <w:sz w:val="22"/>
        </w:rPr>
      </w:pPr>
    </w:p>
    <w:p w14:paraId="6FA2956C" w14:textId="77777777" w:rsidR="00F61418" w:rsidRDefault="00F61418">
      <w:pPr>
        <w:pStyle w:val="BodyText"/>
        <w:spacing w:before="5"/>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6"/>
      </w:tblGrid>
      <w:tr w:rsidR="003728B6" w14:paraId="4BCB776B" w14:textId="77777777">
        <w:trPr>
          <w:trHeight w:val="440"/>
        </w:trPr>
        <w:tc>
          <w:tcPr>
            <w:tcW w:w="9352" w:type="dxa"/>
            <w:gridSpan w:val="2"/>
          </w:tcPr>
          <w:p w14:paraId="07D9DBA1" w14:textId="77777777" w:rsidR="003728B6" w:rsidRPr="00ED0A6E" w:rsidRDefault="00F717A2" w:rsidP="00ED0A6E">
            <w:r w:rsidRPr="00ED0A6E">
              <w:t xml:space="preserve">UTC Project Information – </w:t>
            </w:r>
            <w:r w:rsidR="000677AE" w:rsidRPr="00ED0A6E">
              <w:t>National UTC TriDurLE</w:t>
            </w:r>
          </w:p>
        </w:tc>
      </w:tr>
      <w:tr w:rsidR="003728B6" w14:paraId="606DA9C7" w14:textId="77777777">
        <w:trPr>
          <w:trHeight w:val="438"/>
        </w:trPr>
        <w:tc>
          <w:tcPr>
            <w:tcW w:w="2606" w:type="dxa"/>
          </w:tcPr>
          <w:p w14:paraId="57B12C18" w14:textId="77777777" w:rsidR="003728B6" w:rsidRPr="00ED0A6E" w:rsidRDefault="00F717A2" w:rsidP="00ED0A6E">
            <w:r w:rsidRPr="00ED0A6E">
              <w:t xml:space="preserve">Project Title </w:t>
            </w:r>
          </w:p>
        </w:tc>
        <w:tc>
          <w:tcPr>
            <w:tcW w:w="6746" w:type="dxa"/>
          </w:tcPr>
          <w:p w14:paraId="42F587F5" w14:textId="23CD60A3" w:rsidR="003728B6" w:rsidRPr="00ED0A6E" w:rsidRDefault="00727145" w:rsidP="00A827AC">
            <w:pPr>
              <w:pStyle w:val="Default"/>
              <w:tabs>
                <w:tab w:val="left" w:pos="1710"/>
              </w:tabs>
              <w:spacing w:line="276" w:lineRule="auto"/>
            </w:pPr>
            <w:r w:rsidRPr="00727145">
              <w:t>Development of Environmental Responsive Asphalt Technology for Asphalt Pavement Life Extension</w:t>
            </w:r>
          </w:p>
        </w:tc>
      </w:tr>
      <w:tr w:rsidR="003728B6" w14:paraId="528C4C88" w14:textId="77777777">
        <w:trPr>
          <w:trHeight w:val="440"/>
        </w:trPr>
        <w:tc>
          <w:tcPr>
            <w:tcW w:w="2606" w:type="dxa"/>
          </w:tcPr>
          <w:p w14:paraId="6A172715" w14:textId="77777777" w:rsidR="003728B6" w:rsidRPr="00ED0A6E" w:rsidRDefault="00F717A2" w:rsidP="00ED0A6E">
            <w:r w:rsidRPr="00ED0A6E">
              <w:t xml:space="preserve">University </w:t>
            </w:r>
          </w:p>
        </w:tc>
        <w:tc>
          <w:tcPr>
            <w:tcW w:w="6746" w:type="dxa"/>
          </w:tcPr>
          <w:p w14:paraId="15435122" w14:textId="45BD126B" w:rsidR="003728B6" w:rsidRPr="00A827AC" w:rsidRDefault="00A827AC" w:rsidP="00A827AC">
            <w:pPr>
              <w:pStyle w:val="Default"/>
              <w:tabs>
                <w:tab w:val="left" w:pos="1710"/>
              </w:tabs>
              <w:spacing w:line="276" w:lineRule="auto"/>
              <w:rPr>
                <w:rFonts w:eastAsia="Times New Roman"/>
              </w:rPr>
            </w:pPr>
            <w:r w:rsidRPr="00A827AC">
              <w:rPr>
                <w:rFonts w:eastAsia="Times New Roman"/>
              </w:rPr>
              <w:t xml:space="preserve"> </w:t>
            </w:r>
            <w:r w:rsidR="00727145">
              <w:rPr>
                <w:rFonts w:eastAsia="Times New Roman"/>
              </w:rPr>
              <w:t>Case Western Reserve University</w:t>
            </w:r>
          </w:p>
        </w:tc>
      </w:tr>
      <w:tr w:rsidR="003728B6" w14:paraId="29725D12" w14:textId="77777777">
        <w:trPr>
          <w:trHeight w:val="438"/>
        </w:trPr>
        <w:tc>
          <w:tcPr>
            <w:tcW w:w="2606" w:type="dxa"/>
          </w:tcPr>
          <w:p w14:paraId="6B60ECAC" w14:textId="77777777" w:rsidR="003728B6" w:rsidRPr="00ED0A6E" w:rsidRDefault="00F717A2" w:rsidP="00ED0A6E">
            <w:r w:rsidRPr="00ED0A6E">
              <w:t xml:space="preserve">Principal Investigator </w:t>
            </w:r>
          </w:p>
        </w:tc>
        <w:tc>
          <w:tcPr>
            <w:tcW w:w="6746" w:type="dxa"/>
          </w:tcPr>
          <w:p w14:paraId="00647893" w14:textId="1202F0D2" w:rsidR="003728B6" w:rsidRPr="00ED0A6E" w:rsidRDefault="00727145" w:rsidP="00ED0A6E">
            <w:r>
              <w:t xml:space="preserve"> Xiong (Bill) Yu</w:t>
            </w:r>
          </w:p>
        </w:tc>
      </w:tr>
      <w:tr w:rsidR="003728B6" w14:paraId="144E24BE" w14:textId="77777777">
        <w:trPr>
          <w:trHeight w:val="440"/>
        </w:trPr>
        <w:tc>
          <w:tcPr>
            <w:tcW w:w="2606" w:type="dxa"/>
          </w:tcPr>
          <w:p w14:paraId="236941D3" w14:textId="77777777" w:rsidR="003728B6" w:rsidRPr="00ED0A6E" w:rsidRDefault="00F717A2" w:rsidP="00ED0A6E">
            <w:r w:rsidRPr="00ED0A6E">
              <w:t xml:space="preserve">PI Contact Information </w:t>
            </w:r>
          </w:p>
        </w:tc>
        <w:tc>
          <w:tcPr>
            <w:tcW w:w="6746" w:type="dxa"/>
          </w:tcPr>
          <w:p w14:paraId="180F0C0E" w14:textId="5BC1F7B1" w:rsidR="003728B6" w:rsidRPr="00ED0A6E" w:rsidRDefault="00727145" w:rsidP="00ED0A6E">
            <w:hyperlink r:id="rId8" w:history="1">
              <w:r w:rsidRPr="00C71FC9">
                <w:rPr>
                  <w:rStyle w:val="Hyperlink"/>
                </w:rPr>
                <w:t>xxy21@case.edu</w:t>
              </w:r>
            </w:hyperlink>
            <w:r>
              <w:t>,   216-368-6247</w:t>
            </w:r>
          </w:p>
        </w:tc>
      </w:tr>
      <w:tr w:rsidR="003728B6" w14:paraId="2E6A7471" w14:textId="77777777">
        <w:trPr>
          <w:trHeight w:val="1757"/>
        </w:trPr>
        <w:tc>
          <w:tcPr>
            <w:tcW w:w="2606" w:type="dxa"/>
          </w:tcPr>
          <w:p w14:paraId="14E45495" w14:textId="2EB53AB4" w:rsidR="003728B6" w:rsidRPr="00ED0A6E" w:rsidRDefault="00F717A2" w:rsidP="00ED0A6E">
            <w:r w:rsidRPr="00ED0A6E">
              <w:t>Funding Source</w:t>
            </w:r>
            <w:r w:rsidR="00B15A3F">
              <w:t>(</w:t>
            </w:r>
            <w:r w:rsidRPr="00ED0A6E">
              <w:t>s</w:t>
            </w:r>
            <w:r w:rsidR="00B15A3F">
              <w:t>)</w:t>
            </w:r>
            <w:r w:rsidRPr="00ED0A6E">
              <w:t xml:space="preserve"> and Amount Provided (by each agency or </w:t>
            </w:r>
          </w:p>
          <w:p w14:paraId="168D9D84" w14:textId="77777777" w:rsidR="003728B6" w:rsidRPr="00ED0A6E" w:rsidRDefault="00F717A2" w:rsidP="00ED0A6E">
            <w:r w:rsidRPr="00ED0A6E">
              <w:t xml:space="preserve">organization) </w:t>
            </w:r>
          </w:p>
        </w:tc>
        <w:tc>
          <w:tcPr>
            <w:tcW w:w="6746" w:type="dxa"/>
          </w:tcPr>
          <w:p w14:paraId="51E08C12" w14:textId="540B3E31" w:rsidR="003728B6" w:rsidRPr="00ED0A6E" w:rsidRDefault="003728B6" w:rsidP="00ED0A6E"/>
        </w:tc>
      </w:tr>
      <w:tr w:rsidR="003728B6" w14:paraId="06BE7E25" w14:textId="77777777">
        <w:trPr>
          <w:trHeight w:val="438"/>
        </w:trPr>
        <w:tc>
          <w:tcPr>
            <w:tcW w:w="2606" w:type="dxa"/>
          </w:tcPr>
          <w:p w14:paraId="4501EE17" w14:textId="77777777" w:rsidR="003728B6" w:rsidRPr="00ED0A6E" w:rsidRDefault="00F717A2" w:rsidP="00ED0A6E">
            <w:r w:rsidRPr="00ED0A6E">
              <w:t xml:space="preserve">Total Project Cost </w:t>
            </w:r>
          </w:p>
        </w:tc>
        <w:tc>
          <w:tcPr>
            <w:tcW w:w="6746" w:type="dxa"/>
          </w:tcPr>
          <w:p w14:paraId="7617B66E" w14:textId="16E48000" w:rsidR="00F40498" w:rsidRPr="002A5167" w:rsidRDefault="00727145" w:rsidP="00ED0A6E">
            <w:pPr>
              <w:rPr>
                <w:rFonts w:ascii="Times New Roman" w:hAnsi="Times New Roman"/>
                <w:sz w:val="23"/>
                <w:szCs w:val="23"/>
              </w:rPr>
            </w:pPr>
            <w:r>
              <w:rPr>
                <w:rFonts w:ascii="Times New Roman" w:hAnsi="Times New Roman"/>
                <w:sz w:val="23"/>
                <w:szCs w:val="23"/>
              </w:rPr>
              <w:t>$41090 (TriDurLE) + $41090 (cost share by CWRU)</w:t>
            </w:r>
          </w:p>
        </w:tc>
      </w:tr>
      <w:tr w:rsidR="003728B6" w14:paraId="7088BD2F" w14:textId="77777777">
        <w:trPr>
          <w:trHeight w:val="879"/>
        </w:trPr>
        <w:tc>
          <w:tcPr>
            <w:tcW w:w="2606" w:type="dxa"/>
          </w:tcPr>
          <w:p w14:paraId="54F9FF5F" w14:textId="77777777" w:rsidR="003728B6" w:rsidRPr="00ED0A6E" w:rsidRDefault="00F717A2" w:rsidP="00ED0A6E">
            <w:r w:rsidRPr="00ED0A6E">
              <w:t xml:space="preserve">Agency ID or Contract </w:t>
            </w:r>
          </w:p>
          <w:p w14:paraId="15C6C69E" w14:textId="77777777" w:rsidR="003728B6" w:rsidRPr="00ED0A6E" w:rsidRDefault="00F717A2" w:rsidP="00ED0A6E">
            <w:r w:rsidRPr="00ED0A6E">
              <w:t xml:space="preserve">Number </w:t>
            </w:r>
          </w:p>
        </w:tc>
        <w:tc>
          <w:tcPr>
            <w:tcW w:w="6746" w:type="dxa"/>
          </w:tcPr>
          <w:p w14:paraId="05BE4C7B" w14:textId="33EC10C7" w:rsidR="003728B6" w:rsidRPr="00ED0A6E" w:rsidRDefault="003728B6" w:rsidP="00ED0A6E"/>
        </w:tc>
      </w:tr>
      <w:tr w:rsidR="003728B6" w14:paraId="5A56C7A2" w14:textId="77777777">
        <w:trPr>
          <w:trHeight w:val="440"/>
        </w:trPr>
        <w:tc>
          <w:tcPr>
            <w:tcW w:w="2606" w:type="dxa"/>
          </w:tcPr>
          <w:p w14:paraId="48CE9E3F" w14:textId="77777777" w:rsidR="003728B6" w:rsidRPr="00ED0A6E" w:rsidRDefault="00F717A2" w:rsidP="00ED0A6E">
            <w:r w:rsidRPr="00ED0A6E">
              <w:t xml:space="preserve">Start and End Dates </w:t>
            </w:r>
          </w:p>
        </w:tc>
        <w:tc>
          <w:tcPr>
            <w:tcW w:w="6746" w:type="dxa"/>
          </w:tcPr>
          <w:p w14:paraId="3999BF90" w14:textId="60DB6653" w:rsidR="003728B6" w:rsidRPr="00ED0A6E" w:rsidRDefault="00727145" w:rsidP="00ED0A6E">
            <w:r>
              <w:t>May 1, 2020-June 30, 2021</w:t>
            </w:r>
          </w:p>
        </w:tc>
      </w:tr>
      <w:tr w:rsidR="003728B6" w14:paraId="661DE8DD" w14:textId="77777777" w:rsidTr="000677AE">
        <w:trPr>
          <w:trHeight w:val="1268"/>
        </w:trPr>
        <w:tc>
          <w:tcPr>
            <w:tcW w:w="2606" w:type="dxa"/>
          </w:tcPr>
          <w:p w14:paraId="4E358743" w14:textId="77777777" w:rsidR="003728B6" w:rsidRPr="00ED0A6E" w:rsidRDefault="00F717A2" w:rsidP="00ED0A6E">
            <w:r w:rsidRPr="00ED0A6E">
              <w:t xml:space="preserve">Brief Description of Research Project  </w:t>
            </w:r>
          </w:p>
        </w:tc>
        <w:tc>
          <w:tcPr>
            <w:tcW w:w="6746" w:type="dxa"/>
          </w:tcPr>
          <w:p w14:paraId="65F0E8C0" w14:textId="5FBEA065" w:rsidR="000677AE" w:rsidRPr="00ED0A6E" w:rsidRDefault="00727145" w:rsidP="00727145">
            <w:pPr>
              <w:pStyle w:val="ListParagraph"/>
              <w:spacing w:line="276" w:lineRule="auto"/>
              <w:jc w:val="both"/>
            </w:pPr>
            <w:r w:rsidRPr="00733DDF">
              <w:rPr>
                <w:rFonts w:ascii="11.5" w:hAnsi="11.5"/>
              </w:rPr>
              <w:t xml:space="preserve">The proposed innovation is to further develop a thermochromic asphalt technology that features a dynamic solar reflectance.  The material will reflect more solar radiation at high temperature and absorbs more solar radiation at low temperature.  Therefore it will make pavement cooler during hot summer days (therefore reduce the associated rutting, bleeding, etc.) and make the pavement warmer during cold winter days (therefore delay ice formation for the benefits of snow and ice removal and mitigate low temperature crack).  These will improve the durability of asphalt road, improve winter maintenance, and mitigate the negative environmental impacts of conventional asphalt due to high surface temperature in summer (i.e., urban heat island effects, volatile gas emission, etc.).  </w:t>
            </w:r>
          </w:p>
        </w:tc>
      </w:tr>
      <w:tr w:rsidR="003728B6" w14:paraId="61AB68A9" w14:textId="77777777">
        <w:trPr>
          <w:trHeight w:val="2491"/>
        </w:trPr>
        <w:tc>
          <w:tcPr>
            <w:tcW w:w="2606" w:type="dxa"/>
          </w:tcPr>
          <w:p w14:paraId="40F8C2B9" w14:textId="567FFE90" w:rsidR="00B15A3F" w:rsidRDefault="000677AE" w:rsidP="00ED0A6E">
            <w:r w:rsidRPr="00ED0A6E">
              <w:t>D</w:t>
            </w:r>
            <w:r w:rsidR="00F717A2" w:rsidRPr="00ED0A6E">
              <w:t>escribe</w:t>
            </w:r>
            <w:r w:rsidRPr="00ED0A6E">
              <w:t xml:space="preserve"> </w:t>
            </w:r>
            <w:r w:rsidR="00B15A3F">
              <w:t>Implementation of Research Outcomes (or why not implemented)</w:t>
            </w:r>
          </w:p>
          <w:p w14:paraId="677033CC" w14:textId="77777777" w:rsidR="00B15A3F" w:rsidRDefault="00B15A3F" w:rsidP="00ED0A6E"/>
          <w:p w14:paraId="247B46CB" w14:textId="22530EEC" w:rsidR="003728B6" w:rsidRPr="00ED0A6E" w:rsidRDefault="00F717A2" w:rsidP="00ED0A6E">
            <w:r w:rsidRPr="00ED0A6E">
              <w:t xml:space="preserve"> </w:t>
            </w:r>
          </w:p>
          <w:p w14:paraId="2857B1CA" w14:textId="77777777" w:rsidR="003728B6" w:rsidRPr="00ED0A6E" w:rsidRDefault="00F717A2" w:rsidP="00ED0A6E">
            <w:r w:rsidRPr="00ED0A6E">
              <w:t xml:space="preserve"> </w:t>
            </w:r>
          </w:p>
          <w:p w14:paraId="474C5645" w14:textId="77777777" w:rsidR="003728B6" w:rsidRPr="00ED0A6E" w:rsidRDefault="00F717A2" w:rsidP="00ED0A6E">
            <w:r w:rsidRPr="00ED0A6E">
              <w:t xml:space="preserve">Place Any Photos Here </w:t>
            </w:r>
          </w:p>
        </w:tc>
        <w:tc>
          <w:tcPr>
            <w:tcW w:w="6746" w:type="dxa"/>
          </w:tcPr>
          <w:p w14:paraId="1C0CC096" w14:textId="15287B6C" w:rsidR="003728B6" w:rsidRDefault="003728B6" w:rsidP="00727145">
            <w:pPr>
              <w:rPr>
                <w:rFonts w:ascii="11.5" w:hAnsi="11.5"/>
              </w:rPr>
            </w:pPr>
            <w:bookmarkStart w:id="0" w:name="_GoBack"/>
            <w:bookmarkEnd w:id="0"/>
          </w:p>
          <w:p w14:paraId="56965E45" w14:textId="30450CFD" w:rsidR="00727145" w:rsidRPr="00ED0A6E" w:rsidRDefault="00727145" w:rsidP="00727145">
            <w:r>
              <w:rPr>
                <w:rFonts w:ascii="11.5" w:hAnsi="11.5"/>
              </w:rPr>
              <w:t>T</w:t>
            </w:r>
            <w:r w:rsidRPr="00D30EF0">
              <w:rPr>
                <w:rFonts w:ascii="11.5" w:hAnsi="11.5"/>
              </w:rPr>
              <w:t xml:space="preserve">ech transfer </w:t>
            </w:r>
            <w:r>
              <w:rPr>
                <w:rFonts w:ascii="11.5" w:hAnsi="11.5"/>
              </w:rPr>
              <w:t xml:space="preserve">activities </w:t>
            </w:r>
            <w:r w:rsidRPr="00D30EF0">
              <w:rPr>
                <w:rFonts w:ascii="11.5" w:hAnsi="11.5"/>
              </w:rPr>
              <w:t xml:space="preserve">will be implemented </w:t>
            </w:r>
            <w:r>
              <w:rPr>
                <w:rFonts w:ascii="11.5" w:hAnsi="11.5"/>
              </w:rPr>
              <w:t>to actively disseminate the research outcomes at the TriDurLE annual workshop and at TRB conference</w:t>
            </w:r>
            <w:r w:rsidRPr="00D30EF0">
              <w:rPr>
                <w:rFonts w:ascii="11.5" w:hAnsi="11.5"/>
              </w:rPr>
              <w:t xml:space="preserve">. </w:t>
            </w:r>
            <w:r>
              <w:rPr>
                <w:rFonts w:ascii="11.5" w:hAnsi="11.5"/>
              </w:rPr>
              <w:t xml:space="preserve"> </w:t>
            </w:r>
            <w:r w:rsidRPr="00120777">
              <w:rPr>
                <w:rFonts w:ascii="11.5" w:hAnsi="11.5"/>
              </w:rPr>
              <w:t xml:space="preserve">The proposed technology concept is of significant importance to State and Local Agencies and the construction industry at large.  The University has filed patent application after assessing its commercial potential.  The PI will work closely with the Office of Technology Commercialization at Case Western Reserve University </w:t>
            </w:r>
            <w:r>
              <w:rPr>
                <w:rFonts w:ascii="11.5" w:hAnsi="11.5"/>
              </w:rPr>
              <w:t>in the</w:t>
            </w:r>
            <w:r w:rsidRPr="00120777">
              <w:rPr>
                <w:rFonts w:ascii="11.5" w:hAnsi="11.5"/>
              </w:rPr>
              <w:t xml:space="preserve"> tech transfer efforts.  </w:t>
            </w:r>
          </w:p>
        </w:tc>
      </w:tr>
      <w:tr w:rsidR="003728B6" w14:paraId="0114FCA3" w14:textId="77777777">
        <w:trPr>
          <w:trHeight w:val="1318"/>
        </w:trPr>
        <w:tc>
          <w:tcPr>
            <w:tcW w:w="2606" w:type="dxa"/>
          </w:tcPr>
          <w:p w14:paraId="07DB154E" w14:textId="0755B1E8" w:rsidR="003728B6" w:rsidRPr="00ED0A6E" w:rsidRDefault="00F717A2" w:rsidP="00ED0A6E">
            <w:r w:rsidRPr="00ED0A6E">
              <w:lastRenderedPageBreak/>
              <w:t xml:space="preserve">Impacts/Benefits of Implementation (actual, </w:t>
            </w:r>
          </w:p>
          <w:p w14:paraId="7ACD191D" w14:textId="77777777" w:rsidR="003728B6" w:rsidRPr="00ED0A6E" w:rsidRDefault="00F717A2" w:rsidP="00ED0A6E">
            <w:r w:rsidRPr="00ED0A6E">
              <w:t xml:space="preserve">not anticipated) </w:t>
            </w:r>
          </w:p>
        </w:tc>
        <w:tc>
          <w:tcPr>
            <w:tcW w:w="6746" w:type="dxa"/>
          </w:tcPr>
          <w:p w14:paraId="29496E30" w14:textId="4F0FA9D0" w:rsidR="003728B6" w:rsidRPr="00ED0A6E" w:rsidRDefault="00727145" w:rsidP="00ED0A6E">
            <w:r w:rsidRPr="00727145">
              <w:t xml:space="preserve">One distinctive advantage of the proposed thermochromic asphalt technology when compared to existing cool pavement technologies is that it reduces the surface temperature under hot weather while increases the surface temperature under cold weather.  Both are beneficial for the longevity, safety and maintenance of pavement. With polymer based additives, the thermochromic asphalt will feature excellent structural compatibility with the asphalt matrix.  It also features environmental benefits in the mitigation of heat island effects and volatile gas emission.  </w:t>
            </w:r>
          </w:p>
        </w:tc>
      </w:tr>
      <w:tr w:rsidR="00B15A3F" w14:paraId="63CCF3CE" w14:textId="77777777">
        <w:trPr>
          <w:trHeight w:val="1318"/>
        </w:trPr>
        <w:tc>
          <w:tcPr>
            <w:tcW w:w="2606" w:type="dxa"/>
          </w:tcPr>
          <w:p w14:paraId="592D2B1A" w14:textId="77777777" w:rsidR="00B15A3F" w:rsidRDefault="00B15A3F" w:rsidP="00ED0A6E">
            <w:r>
              <w:t>Web links</w:t>
            </w:r>
          </w:p>
          <w:p w14:paraId="7D11B8EE" w14:textId="77777777" w:rsidR="00B15A3F" w:rsidRDefault="00B15A3F" w:rsidP="00B15A3F">
            <w:pPr>
              <w:pStyle w:val="ListParagraph"/>
              <w:numPr>
                <w:ilvl w:val="0"/>
                <w:numId w:val="2"/>
              </w:numPr>
            </w:pPr>
            <w:r>
              <w:t>Reports</w:t>
            </w:r>
          </w:p>
          <w:p w14:paraId="5CCBD25A" w14:textId="2B2B9D8B" w:rsidR="00B15A3F" w:rsidRPr="00ED0A6E" w:rsidRDefault="00B15A3F" w:rsidP="00B15A3F">
            <w:pPr>
              <w:pStyle w:val="ListParagraph"/>
              <w:numPr>
                <w:ilvl w:val="0"/>
                <w:numId w:val="2"/>
              </w:numPr>
            </w:pPr>
            <w:r>
              <w:t>Project website</w:t>
            </w:r>
          </w:p>
        </w:tc>
        <w:tc>
          <w:tcPr>
            <w:tcW w:w="6746" w:type="dxa"/>
          </w:tcPr>
          <w:p w14:paraId="1251B657" w14:textId="532BEEC1" w:rsidR="00B15A3F" w:rsidRPr="0042363E" w:rsidRDefault="0042363E" w:rsidP="00ED0A6E">
            <w:pPr>
              <w:rPr>
                <w:rFonts w:ascii="Times New Roman" w:hAnsi="Times New Roman" w:cs="Times New Roman"/>
              </w:rPr>
            </w:pPr>
            <w:r>
              <w:t xml:space="preserve"> </w:t>
            </w:r>
          </w:p>
        </w:tc>
      </w:tr>
    </w:tbl>
    <w:p w14:paraId="1D2C9A7C" w14:textId="77777777" w:rsidR="00F717A2" w:rsidRDefault="00F717A2" w:rsidP="002A5167"/>
    <w:sectPr w:rsidR="00F717A2" w:rsidSect="009912CA">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2ACDA" w14:textId="77777777" w:rsidR="00604F26" w:rsidRDefault="00604F26" w:rsidP="00727145">
      <w:r>
        <w:separator/>
      </w:r>
    </w:p>
  </w:endnote>
  <w:endnote w:type="continuationSeparator" w:id="0">
    <w:p w14:paraId="5DC647BD" w14:textId="77777777" w:rsidR="00604F26" w:rsidRDefault="00604F26" w:rsidP="0072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1.5">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B2C4A" w14:textId="77777777" w:rsidR="00604F26" w:rsidRDefault="00604F26" w:rsidP="00727145">
      <w:r>
        <w:separator/>
      </w:r>
    </w:p>
  </w:footnote>
  <w:footnote w:type="continuationSeparator" w:id="0">
    <w:p w14:paraId="5256D3C1" w14:textId="77777777" w:rsidR="00604F26" w:rsidRDefault="00604F26" w:rsidP="00727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92554"/>
    <w:multiLevelType w:val="hybridMultilevel"/>
    <w:tmpl w:val="A7260356"/>
    <w:lvl w:ilvl="0" w:tplc="699AC75A">
      <w:numFmt w:val="bullet"/>
      <w:lvlText w:val=""/>
      <w:lvlJc w:val="left"/>
      <w:pPr>
        <w:ind w:left="828" w:hanging="361"/>
      </w:pPr>
      <w:rPr>
        <w:rFonts w:ascii="Symbol" w:eastAsia="Symbol" w:hAnsi="Symbol" w:cs="Symbol" w:hint="default"/>
        <w:w w:val="100"/>
        <w:sz w:val="24"/>
        <w:szCs w:val="24"/>
        <w:lang w:val="en-US" w:eastAsia="en-US" w:bidi="ar-SA"/>
      </w:rPr>
    </w:lvl>
    <w:lvl w:ilvl="1" w:tplc="75383F36">
      <w:numFmt w:val="bullet"/>
      <w:lvlText w:val="•"/>
      <w:lvlJc w:val="left"/>
      <w:pPr>
        <w:ind w:left="997" w:hanging="361"/>
      </w:pPr>
      <w:rPr>
        <w:rFonts w:hint="default"/>
        <w:lang w:val="en-US" w:eastAsia="en-US" w:bidi="ar-SA"/>
      </w:rPr>
    </w:lvl>
    <w:lvl w:ilvl="2" w:tplc="4D04F816">
      <w:numFmt w:val="bullet"/>
      <w:lvlText w:val="•"/>
      <w:lvlJc w:val="left"/>
      <w:pPr>
        <w:ind w:left="1175" w:hanging="361"/>
      </w:pPr>
      <w:rPr>
        <w:rFonts w:hint="default"/>
        <w:lang w:val="en-US" w:eastAsia="en-US" w:bidi="ar-SA"/>
      </w:rPr>
    </w:lvl>
    <w:lvl w:ilvl="3" w:tplc="290E560C">
      <w:numFmt w:val="bullet"/>
      <w:lvlText w:val="•"/>
      <w:lvlJc w:val="left"/>
      <w:pPr>
        <w:ind w:left="1352" w:hanging="361"/>
      </w:pPr>
      <w:rPr>
        <w:rFonts w:hint="default"/>
        <w:lang w:val="en-US" w:eastAsia="en-US" w:bidi="ar-SA"/>
      </w:rPr>
    </w:lvl>
    <w:lvl w:ilvl="4" w:tplc="65EECF68">
      <w:numFmt w:val="bullet"/>
      <w:lvlText w:val="•"/>
      <w:lvlJc w:val="left"/>
      <w:pPr>
        <w:ind w:left="1530" w:hanging="361"/>
      </w:pPr>
      <w:rPr>
        <w:rFonts w:hint="default"/>
        <w:lang w:val="en-US" w:eastAsia="en-US" w:bidi="ar-SA"/>
      </w:rPr>
    </w:lvl>
    <w:lvl w:ilvl="5" w:tplc="6FE2CE24">
      <w:numFmt w:val="bullet"/>
      <w:lvlText w:val="•"/>
      <w:lvlJc w:val="left"/>
      <w:pPr>
        <w:ind w:left="1708" w:hanging="361"/>
      </w:pPr>
      <w:rPr>
        <w:rFonts w:hint="default"/>
        <w:lang w:val="en-US" w:eastAsia="en-US" w:bidi="ar-SA"/>
      </w:rPr>
    </w:lvl>
    <w:lvl w:ilvl="6" w:tplc="DABABC98">
      <w:numFmt w:val="bullet"/>
      <w:lvlText w:val="•"/>
      <w:lvlJc w:val="left"/>
      <w:pPr>
        <w:ind w:left="1885" w:hanging="361"/>
      </w:pPr>
      <w:rPr>
        <w:rFonts w:hint="default"/>
        <w:lang w:val="en-US" w:eastAsia="en-US" w:bidi="ar-SA"/>
      </w:rPr>
    </w:lvl>
    <w:lvl w:ilvl="7" w:tplc="B58C730A">
      <w:numFmt w:val="bullet"/>
      <w:lvlText w:val="•"/>
      <w:lvlJc w:val="left"/>
      <w:pPr>
        <w:ind w:left="2063" w:hanging="361"/>
      </w:pPr>
      <w:rPr>
        <w:rFonts w:hint="default"/>
        <w:lang w:val="en-US" w:eastAsia="en-US" w:bidi="ar-SA"/>
      </w:rPr>
    </w:lvl>
    <w:lvl w:ilvl="8" w:tplc="B5F638A6">
      <w:numFmt w:val="bullet"/>
      <w:lvlText w:val="•"/>
      <w:lvlJc w:val="left"/>
      <w:pPr>
        <w:ind w:left="2240" w:hanging="361"/>
      </w:pPr>
      <w:rPr>
        <w:rFonts w:hint="default"/>
        <w:lang w:val="en-US" w:eastAsia="en-US" w:bidi="ar-SA"/>
      </w:rPr>
    </w:lvl>
  </w:abstractNum>
  <w:abstractNum w:abstractNumId="1" w15:restartNumberingAfterBreak="0">
    <w:nsid w:val="434730BE"/>
    <w:multiLevelType w:val="hybridMultilevel"/>
    <w:tmpl w:val="354052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0DE3579"/>
    <w:multiLevelType w:val="hybridMultilevel"/>
    <w:tmpl w:val="11264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zQ2NTW0sLQ0NDFV0lEKTi0uzszPAykwrAUAH5/GMCwAAAA="/>
  </w:docVars>
  <w:rsids>
    <w:rsidRoot w:val="003728B6"/>
    <w:rsid w:val="000677AE"/>
    <w:rsid w:val="001E3689"/>
    <w:rsid w:val="002A5167"/>
    <w:rsid w:val="00322E60"/>
    <w:rsid w:val="003728B6"/>
    <w:rsid w:val="0042363E"/>
    <w:rsid w:val="00444E77"/>
    <w:rsid w:val="00604F26"/>
    <w:rsid w:val="00656E5D"/>
    <w:rsid w:val="00727145"/>
    <w:rsid w:val="008906B7"/>
    <w:rsid w:val="0089351C"/>
    <w:rsid w:val="009912CA"/>
    <w:rsid w:val="009A3B89"/>
    <w:rsid w:val="00A827AC"/>
    <w:rsid w:val="00B15A3F"/>
    <w:rsid w:val="00B341C2"/>
    <w:rsid w:val="00BC6D98"/>
    <w:rsid w:val="00DB7D23"/>
    <w:rsid w:val="00ED0A6E"/>
    <w:rsid w:val="00EF0EAF"/>
    <w:rsid w:val="00F40498"/>
    <w:rsid w:val="00F61418"/>
    <w:rsid w:val="00F717A2"/>
    <w:rsid w:val="00F82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58EA"/>
  <w15:docId w15:val="{E450F80C-81E5-4CC0-ACC9-4963B9B1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2"/>
      <w:ind w:left="107"/>
    </w:pPr>
  </w:style>
  <w:style w:type="paragraph" w:customStyle="1" w:styleId="Default">
    <w:name w:val="Default"/>
    <w:rsid w:val="00A827AC"/>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A827AC"/>
    <w:rPr>
      <w:color w:val="0000FF" w:themeColor="hyperlink"/>
      <w:u w:val="single"/>
    </w:rPr>
  </w:style>
  <w:style w:type="character" w:customStyle="1" w:styleId="UnresolvedMention">
    <w:name w:val="Unresolved Mention"/>
    <w:basedOn w:val="DefaultParagraphFont"/>
    <w:uiPriority w:val="99"/>
    <w:semiHidden/>
    <w:unhideWhenUsed/>
    <w:rsid w:val="00A827AC"/>
    <w:rPr>
      <w:color w:val="605E5C"/>
      <w:shd w:val="clear" w:color="auto" w:fill="E1DFDD"/>
    </w:rPr>
  </w:style>
  <w:style w:type="paragraph" w:styleId="FootnoteText">
    <w:name w:val="footnote text"/>
    <w:basedOn w:val="Normal"/>
    <w:link w:val="FootnoteTextChar"/>
    <w:semiHidden/>
    <w:rsid w:val="00727145"/>
    <w:pPr>
      <w:widowControl/>
      <w:autoSpaceDE/>
      <w:autoSpaceDN/>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27145"/>
    <w:rPr>
      <w:rFonts w:ascii="Times New Roman" w:eastAsia="Times New Roman" w:hAnsi="Times New Roman" w:cs="Times New Roman"/>
      <w:sz w:val="20"/>
      <w:szCs w:val="20"/>
    </w:rPr>
  </w:style>
  <w:style w:type="character" w:styleId="FootnoteReference">
    <w:name w:val="footnote reference"/>
    <w:semiHidden/>
    <w:rsid w:val="007271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xxy21@case.edu"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Fan</dc:creator>
  <cp:lastModifiedBy>Chih-Chien Kung</cp:lastModifiedBy>
  <cp:revision>3</cp:revision>
  <cp:lastPrinted>2020-04-28T22:27:00Z</cp:lastPrinted>
  <dcterms:created xsi:type="dcterms:W3CDTF">2020-08-06T16:12:00Z</dcterms:created>
  <dcterms:modified xsi:type="dcterms:W3CDTF">2020-08-06T16:12:00Z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Microsoft® Word 2016</vt:lpwstr>
  </property>
  <property fmtid="{D5CDD505-2E9C-101B-9397-08002B2CF9AE}" pid="4" name="LastSaved">
    <vt:filetime>2020-04-20T00:00:00Z</vt:filetime>
  </property>
</Properties>
</file>