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20DFA" w14:textId="2978CF6A" w:rsidR="00B92D72" w:rsidRPr="002978B4" w:rsidRDefault="00B92D72" w:rsidP="00C0077F">
      <w:pPr>
        <w:pStyle w:val="Heading1"/>
        <w:spacing w:before="0"/>
        <w:rPr>
          <w:rFonts w:asciiTheme="minorHAnsi" w:hAnsiTheme="minorHAnsi"/>
          <w:color w:val="auto"/>
          <w:sz w:val="24"/>
          <w:szCs w:val="24"/>
        </w:rPr>
      </w:pPr>
      <w:bookmarkStart w:id="0" w:name="_Toc209615505"/>
      <w:r w:rsidRPr="002978B4">
        <w:rPr>
          <w:rFonts w:asciiTheme="minorHAnsi" w:hAnsiTheme="minorHAnsi"/>
          <w:b/>
          <w:bCs/>
          <w:color w:val="auto"/>
          <w:sz w:val="28"/>
          <w:szCs w:val="28"/>
        </w:rPr>
        <w:t>CoFirGE-2: A national project to identify regionally adapted Trojan, Turkish and Nordmann fir to produce high quality Christmas trees.</w:t>
      </w:r>
      <w:bookmarkEnd w:id="0"/>
      <w:r w:rsidR="002978B4">
        <w:rPr>
          <w:rFonts w:asciiTheme="minorHAnsi" w:hAnsiTheme="minorHAnsi"/>
          <w:b/>
          <w:bCs/>
          <w:color w:val="auto"/>
          <w:sz w:val="28"/>
          <w:szCs w:val="28"/>
        </w:rPr>
        <w:br/>
      </w:r>
      <w:r w:rsidR="002978B4" w:rsidRPr="002978B4">
        <w:rPr>
          <w:rFonts w:asciiTheme="minorHAnsi" w:hAnsiTheme="minorHAnsi"/>
          <w:i/>
          <w:iCs/>
          <w:color w:val="auto"/>
          <w:sz w:val="24"/>
          <w:szCs w:val="24"/>
        </w:rPr>
        <w:t>Chal Landgren and Gary Chastagner</w:t>
      </w:r>
    </w:p>
    <w:p w14:paraId="6FA272D7" w14:textId="77777777" w:rsidR="00EA6B73" w:rsidRDefault="00B92D72" w:rsidP="00B92D72">
      <w:r w:rsidRPr="00035B1A">
        <w:t xml:space="preserve">A national cooperative project called the </w:t>
      </w:r>
      <w:r w:rsidRPr="00035B1A">
        <w:rPr>
          <w:b/>
          <w:bCs/>
        </w:rPr>
        <w:t>Co</w:t>
      </w:r>
      <w:r w:rsidRPr="00035B1A">
        <w:t xml:space="preserve">llaborative </w:t>
      </w:r>
      <w:r w:rsidRPr="00035B1A">
        <w:rPr>
          <w:b/>
          <w:bCs/>
        </w:rPr>
        <w:t>Fir</w:t>
      </w:r>
      <w:r w:rsidRPr="00035B1A">
        <w:t xml:space="preserve"> </w:t>
      </w:r>
      <w:r w:rsidRPr="00035B1A">
        <w:rPr>
          <w:b/>
          <w:bCs/>
        </w:rPr>
        <w:t>G</w:t>
      </w:r>
      <w:r w:rsidRPr="00035B1A">
        <w:t xml:space="preserve">ermplasm </w:t>
      </w:r>
      <w:r w:rsidRPr="00035B1A">
        <w:rPr>
          <w:b/>
          <w:bCs/>
        </w:rPr>
        <w:t>E</w:t>
      </w:r>
      <w:r w:rsidRPr="00035B1A">
        <w:t xml:space="preserve">valuation (CoFirGE) experiment was initiated in 2010. Conceived by retired Christmas tree geneticist Dr. John Frampton at North Carolina State University, cones were collected from 60 GPS-located trees in three Turkish fir provenances and 40 GPS-located trees in two Trojan fir provenances within the natural range of these species in Turkey. </w:t>
      </w:r>
      <w:bookmarkStart w:id="1" w:name="_Hlk171068686"/>
    </w:p>
    <w:tbl>
      <w:tblPr>
        <w:tblW w:w="6220" w:type="dxa"/>
        <w:jc w:val="center"/>
        <w:tblLook w:val="04A0" w:firstRow="1" w:lastRow="0" w:firstColumn="1" w:lastColumn="0" w:noHBand="0" w:noVBand="1"/>
      </w:tblPr>
      <w:tblGrid>
        <w:gridCol w:w="948"/>
        <w:gridCol w:w="947"/>
        <w:gridCol w:w="876"/>
        <w:gridCol w:w="1258"/>
        <w:gridCol w:w="990"/>
        <w:gridCol w:w="1201"/>
      </w:tblGrid>
      <w:tr w:rsidR="00AD6AB8" w:rsidRPr="00AD6AB8" w14:paraId="5BB8BA3C" w14:textId="77777777" w:rsidTr="00AD6AB8">
        <w:trPr>
          <w:trHeight w:val="285"/>
          <w:jc w:val="center"/>
        </w:trPr>
        <w:tc>
          <w:tcPr>
            <w:tcW w:w="6220" w:type="dxa"/>
            <w:gridSpan w:val="6"/>
            <w:tcBorders>
              <w:top w:val="single" w:sz="4" w:space="0" w:color="auto"/>
              <w:left w:val="single" w:sz="4" w:space="0" w:color="auto"/>
              <w:bottom w:val="single" w:sz="4" w:space="0" w:color="auto"/>
              <w:right w:val="single" w:sz="4" w:space="0" w:color="auto"/>
            </w:tcBorders>
            <w:noWrap/>
            <w:vAlign w:val="bottom"/>
            <w:hideMark/>
          </w:tcPr>
          <w:p w14:paraId="73C15A79" w14:textId="19BB1878" w:rsidR="00AD6AB8" w:rsidRPr="00AD6AB8" w:rsidRDefault="00AD6AB8" w:rsidP="00AD6AB8">
            <w:pPr>
              <w:spacing w:after="0" w:line="240" w:lineRule="auto"/>
              <w:rPr>
                <w:rFonts w:ascii="Calibri" w:eastAsia="Times New Roman" w:hAnsi="Calibri" w:cs="Calibri"/>
                <w:b/>
                <w:bCs/>
                <w:color w:val="000000"/>
                <w:kern w:val="0"/>
                <w:sz w:val="22"/>
                <w:szCs w:val="22"/>
                <w14:ligatures w14:val="none"/>
              </w:rPr>
            </w:pPr>
            <w:r w:rsidRPr="00AD6AB8">
              <w:rPr>
                <w:rFonts w:ascii="Calibri" w:eastAsia="Times New Roman" w:hAnsi="Calibri" w:cs="Calibri"/>
                <w:b/>
                <w:bCs/>
                <w:color w:val="000000"/>
                <w:kern w:val="0"/>
                <w:sz w:val="22"/>
                <w:szCs w:val="22"/>
                <w14:ligatures w14:val="none"/>
              </w:rPr>
              <w:t>Origins of Turkish and Trojan firs in CoFir</w:t>
            </w:r>
            <w:r w:rsidR="00097E03">
              <w:rPr>
                <w:rFonts w:ascii="Calibri" w:eastAsia="Times New Roman" w:hAnsi="Calibri" w:cs="Calibri"/>
                <w:b/>
                <w:bCs/>
                <w:color w:val="000000"/>
                <w:kern w:val="0"/>
                <w:sz w:val="22"/>
                <w:szCs w:val="22"/>
                <w14:ligatures w14:val="none"/>
              </w:rPr>
              <w:t>G</w:t>
            </w:r>
            <w:r w:rsidRPr="00AD6AB8">
              <w:rPr>
                <w:rFonts w:ascii="Calibri" w:eastAsia="Times New Roman" w:hAnsi="Calibri" w:cs="Calibri"/>
                <w:b/>
                <w:bCs/>
                <w:color w:val="000000"/>
                <w:kern w:val="0"/>
                <w:sz w:val="22"/>
                <w:szCs w:val="22"/>
                <w14:ligatures w14:val="none"/>
              </w:rPr>
              <w:t>E-1 trials.</w:t>
            </w:r>
          </w:p>
        </w:tc>
      </w:tr>
      <w:tr w:rsidR="00AD6AB8" w:rsidRPr="00AD6AB8" w14:paraId="16F74488" w14:textId="77777777" w:rsidTr="00AD6AB8">
        <w:trPr>
          <w:trHeight w:val="285"/>
          <w:jc w:val="center"/>
        </w:trPr>
        <w:tc>
          <w:tcPr>
            <w:tcW w:w="948" w:type="dxa"/>
            <w:tcBorders>
              <w:top w:val="nil"/>
              <w:left w:val="single" w:sz="4" w:space="0" w:color="auto"/>
              <w:bottom w:val="single" w:sz="4" w:space="0" w:color="auto"/>
              <w:right w:val="single" w:sz="4" w:space="0" w:color="auto"/>
            </w:tcBorders>
            <w:noWrap/>
            <w:vAlign w:val="bottom"/>
            <w:hideMark/>
          </w:tcPr>
          <w:p w14:paraId="58CD6763" w14:textId="77777777" w:rsidR="00AD6AB8" w:rsidRPr="00AD6AB8" w:rsidRDefault="00AD6AB8" w:rsidP="00AD6AB8">
            <w:pPr>
              <w:spacing w:after="0" w:line="240" w:lineRule="auto"/>
              <w:rPr>
                <w:rFonts w:ascii="Calibri" w:eastAsia="Times New Roman" w:hAnsi="Calibri" w:cs="Calibri"/>
                <w:b/>
                <w:bCs/>
                <w:color w:val="000000"/>
                <w:kern w:val="0"/>
                <w:sz w:val="22"/>
                <w:szCs w:val="22"/>
                <w14:ligatures w14:val="none"/>
              </w:rPr>
            </w:pPr>
            <w:r w:rsidRPr="00AD6AB8">
              <w:rPr>
                <w:rFonts w:ascii="Calibri" w:eastAsia="Times New Roman" w:hAnsi="Calibri" w:cs="Calibri"/>
                <w:b/>
                <w:bCs/>
                <w:color w:val="000000"/>
                <w:kern w:val="0"/>
                <w:sz w:val="22"/>
                <w:szCs w:val="22"/>
                <w14:ligatures w14:val="none"/>
              </w:rPr>
              <w:t>Species</w:t>
            </w:r>
          </w:p>
        </w:tc>
        <w:tc>
          <w:tcPr>
            <w:tcW w:w="947" w:type="dxa"/>
            <w:tcBorders>
              <w:top w:val="nil"/>
              <w:left w:val="nil"/>
              <w:bottom w:val="single" w:sz="4" w:space="0" w:color="auto"/>
              <w:right w:val="single" w:sz="4" w:space="0" w:color="auto"/>
            </w:tcBorders>
            <w:noWrap/>
            <w:vAlign w:val="bottom"/>
            <w:hideMark/>
          </w:tcPr>
          <w:p w14:paraId="5B0427C4" w14:textId="77777777" w:rsidR="00AD6AB8" w:rsidRPr="00AD6AB8" w:rsidRDefault="00AD6AB8" w:rsidP="00AD6AB8">
            <w:pPr>
              <w:spacing w:after="0" w:line="240" w:lineRule="auto"/>
              <w:rPr>
                <w:rFonts w:ascii="Calibri" w:eastAsia="Times New Roman" w:hAnsi="Calibri" w:cs="Calibri"/>
                <w:b/>
                <w:bCs/>
                <w:color w:val="000000"/>
                <w:kern w:val="0"/>
                <w:sz w:val="22"/>
                <w:szCs w:val="22"/>
                <w14:ligatures w14:val="none"/>
              </w:rPr>
            </w:pPr>
            <w:r w:rsidRPr="00AD6AB8">
              <w:rPr>
                <w:rFonts w:ascii="Calibri" w:eastAsia="Times New Roman" w:hAnsi="Calibri" w:cs="Calibri"/>
                <w:b/>
                <w:bCs/>
                <w:color w:val="000000"/>
                <w:kern w:val="0"/>
                <w:sz w:val="22"/>
                <w:szCs w:val="22"/>
                <w14:ligatures w14:val="none"/>
              </w:rPr>
              <w:t>Symbol</w:t>
            </w:r>
          </w:p>
        </w:tc>
        <w:tc>
          <w:tcPr>
            <w:tcW w:w="876" w:type="dxa"/>
            <w:tcBorders>
              <w:top w:val="nil"/>
              <w:left w:val="nil"/>
              <w:bottom w:val="single" w:sz="4" w:space="0" w:color="auto"/>
              <w:right w:val="single" w:sz="4" w:space="0" w:color="auto"/>
            </w:tcBorders>
            <w:noWrap/>
            <w:vAlign w:val="bottom"/>
            <w:hideMark/>
          </w:tcPr>
          <w:p w14:paraId="49766C22" w14:textId="77777777" w:rsidR="00AD6AB8" w:rsidRPr="00AD6AB8" w:rsidRDefault="00AD6AB8" w:rsidP="00AD6AB8">
            <w:pPr>
              <w:spacing w:after="0" w:line="240" w:lineRule="auto"/>
              <w:rPr>
                <w:rFonts w:ascii="Calibri" w:eastAsia="Times New Roman" w:hAnsi="Calibri" w:cs="Calibri"/>
                <w:b/>
                <w:bCs/>
                <w:color w:val="000000"/>
                <w:kern w:val="0"/>
                <w:sz w:val="22"/>
                <w:szCs w:val="22"/>
                <w14:ligatures w14:val="none"/>
              </w:rPr>
            </w:pPr>
            <w:r w:rsidRPr="00AD6AB8">
              <w:rPr>
                <w:rFonts w:ascii="Calibri" w:eastAsia="Times New Roman" w:hAnsi="Calibri" w:cs="Calibri"/>
                <w:b/>
                <w:bCs/>
                <w:color w:val="000000"/>
                <w:kern w:val="0"/>
                <w:sz w:val="22"/>
                <w:szCs w:val="22"/>
                <w14:ligatures w14:val="none"/>
              </w:rPr>
              <w:t>Family</w:t>
            </w:r>
          </w:p>
        </w:tc>
        <w:tc>
          <w:tcPr>
            <w:tcW w:w="1258" w:type="dxa"/>
            <w:tcBorders>
              <w:top w:val="nil"/>
              <w:left w:val="nil"/>
              <w:bottom w:val="single" w:sz="4" w:space="0" w:color="auto"/>
              <w:right w:val="single" w:sz="4" w:space="0" w:color="auto"/>
            </w:tcBorders>
            <w:noWrap/>
            <w:vAlign w:val="center"/>
            <w:hideMark/>
          </w:tcPr>
          <w:p w14:paraId="5F1F3DB3" w14:textId="77777777" w:rsidR="00AD6AB8" w:rsidRPr="00AD6AB8" w:rsidRDefault="00AD6AB8" w:rsidP="00AD6AB8">
            <w:pPr>
              <w:spacing w:after="0" w:line="240" w:lineRule="auto"/>
              <w:rPr>
                <w:rFonts w:ascii="Calibri" w:eastAsia="Times New Roman" w:hAnsi="Calibri" w:cs="Calibri"/>
                <w:b/>
                <w:bCs/>
                <w:color w:val="000000"/>
                <w:kern w:val="0"/>
                <w:sz w:val="22"/>
                <w:szCs w:val="22"/>
                <w14:ligatures w14:val="none"/>
              </w:rPr>
            </w:pPr>
            <w:r w:rsidRPr="00AD6AB8">
              <w:rPr>
                <w:rFonts w:ascii="Calibri" w:eastAsia="Times New Roman" w:hAnsi="Calibri" w:cs="Calibri"/>
                <w:b/>
                <w:bCs/>
                <w:color w:val="000000"/>
                <w:kern w:val="0"/>
                <w:sz w:val="22"/>
                <w:szCs w:val="22"/>
                <w14:ligatures w14:val="none"/>
              </w:rPr>
              <w:t>Province</w:t>
            </w:r>
          </w:p>
        </w:tc>
        <w:tc>
          <w:tcPr>
            <w:tcW w:w="990" w:type="dxa"/>
            <w:tcBorders>
              <w:top w:val="nil"/>
              <w:left w:val="nil"/>
              <w:bottom w:val="single" w:sz="4" w:space="0" w:color="auto"/>
              <w:right w:val="single" w:sz="4" w:space="0" w:color="auto"/>
            </w:tcBorders>
            <w:noWrap/>
            <w:vAlign w:val="center"/>
            <w:hideMark/>
          </w:tcPr>
          <w:p w14:paraId="4C8EE4B4" w14:textId="77777777" w:rsidR="00AD6AB8" w:rsidRPr="00AD6AB8" w:rsidRDefault="00AD6AB8" w:rsidP="00AD6AB8">
            <w:pPr>
              <w:spacing w:after="0" w:line="240" w:lineRule="auto"/>
              <w:rPr>
                <w:rFonts w:ascii="Calibri" w:eastAsia="Times New Roman" w:hAnsi="Calibri" w:cs="Calibri"/>
                <w:b/>
                <w:bCs/>
                <w:color w:val="000000"/>
                <w:kern w:val="0"/>
                <w:sz w:val="22"/>
                <w:szCs w:val="22"/>
                <w14:ligatures w14:val="none"/>
              </w:rPr>
            </w:pPr>
            <w:r w:rsidRPr="00AD6AB8">
              <w:rPr>
                <w:rFonts w:ascii="Calibri" w:eastAsia="Times New Roman" w:hAnsi="Calibri" w:cs="Calibri"/>
                <w:b/>
                <w:bCs/>
                <w:color w:val="000000"/>
                <w:kern w:val="0"/>
                <w:sz w:val="22"/>
                <w:szCs w:val="22"/>
                <w14:ligatures w14:val="none"/>
              </w:rPr>
              <w:t>District</w:t>
            </w:r>
          </w:p>
        </w:tc>
        <w:tc>
          <w:tcPr>
            <w:tcW w:w="1201" w:type="dxa"/>
            <w:tcBorders>
              <w:top w:val="nil"/>
              <w:left w:val="nil"/>
              <w:bottom w:val="single" w:sz="4" w:space="0" w:color="auto"/>
              <w:right w:val="single" w:sz="4" w:space="0" w:color="auto"/>
            </w:tcBorders>
            <w:noWrap/>
            <w:vAlign w:val="center"/>
            <w:hideMark/>
          </w:tcPr>
          <w:p w14:paraId="20E89DB7" w14:textId="77777777" w:rsidR="00AD6AB8" w:rsidRPr="00AD6AB8" w:rsidRDefault="00AD6AB8" w:rsidP="00AD6AB8">
            <w:pPr>
              <w:spacing w:after="0" w:line="240" w:lineRule="auto"/>
              <w:rPr>
                <w:rFonts w:ascii="Calibri" w:eastAsia="Times New Roman" w:hAnsi="Calibri" w:cs="Calibri"/>
                <w:b/>
                <w:bCs/>
                <w:color w:val="000000"/>
                <w:kern w:val="0"/>
                <w:sz w:val="22"/>
                <w:szCs w:val="22"/>
                <w14:ligatures w14:val="none"/>
              </w:rPr>
            </w:pPr>
            <w:r w:rsidRPr="00AD6AB8">
              <w:rPr>
                <w:rFonts w:ascii="Calibri" w:eastAsia="Times New Roman" w:hAnsi="Calibri" w:cs="Calibri"/>
                <w:b/>
                <w:bCs/>
                <w:color w:val="000000"/>
                <w:kern w:val="0"/>
                <w:sz w:val="22"/>
                <w:szCs w:val="22"/>
                <w14:ligatures w14:val="none"/>
              </w:rPr>
              <w:t>Locality</w:t>
            </w:r>
          </w:p>
        </w:tc>
      </w:tr>
      <w:tr w:rsidR="00AD6AB8" w:rsidRPr="00AD6AB8" w14:paraId="1FE2B835" w14:textId="77777777" w:rsidTr="00AD6AB8">
        <w:trPr>
          <w:trHeight w:val="285"/>
          <w:jc w:val="center"/>
        </w:trPr>
        <w:tc>
          <w:tcPr>
            <w:tcW w:w="948" w:type="dxa"/>
            <w:tcBorders>
              <w:top w:val="nil"/>
              <w:left w:val="single" w:sz="4" w:space="0" w:color="auto"/>
              <w:bottom w:val="single" w:sz="4" w:space="0" w:color="auto"/>
              <w:right w:val="single" w:sz="4" w:space="0" w:color="auto"/>
            </w:tcBorders>
            <w:noWrap/>
            <w:vAlign w:val="bottom"/>
            <w:hideMark/>
          </w:tcPr>
          <w:p w14:paraId="270CE116"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Turkish</w:t>
            </w:r>
          </w:p>
        </w:tc>
        <w:tc>
          <w:tcPr>
            <w:tcW w:w="947" w:type="dxa"/>
            <w:tcBorders>
              <w:top w:val="nil"/>
              <w:left w:val="nil"/>
              <w:bottom w:val="single" w:sz="4" w:space="0" w:color="auto"/>
              <w:right w:val="single" w:sz="4" w:space="0" w:color="auto"/>
            </w:tcBorders>
            <w:noWrap/>
            <w:vAlign w:val="center"/>
            <w:hideMark/>
          </w:tcPr>
          <w:p w14:paraId="3423CE01"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BOL</w:t>
            </w:r>
          </w:p>
        </w:tc>
        <w:tc>
          <w:tcPr>
            <w:tcW w:w="876" w:type="dxa"/>
            <w:tcBorders>
              <w:top w:val="nil"/>
              <w:left w:val="nil"/>
              <w:bottom w:val="single" w:sz="4" w:space="0" w:color="auto"/>
              <w:right w:val="single" w:sz="4" w:space="0" w:color="auto"/>
            </w:tcBorders>
            <w:shd w:val="clear" w:color="000000" w:fill="C65911"/>
            <w:noWrap/>
            <w:vAlign w:val="center"/>
            <w:hideMark/>
          </w:tcPr>
          <w:p w14:paraId="5CA2BB00"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1-20</w:t>
            </w:r>
          </w:p>
        </w:tc>
        <w:tc>
          <w:tcPr>
            <w:tcW w:w="1258" w:type="dxa"/>
            <w:tcBorders>
              <w:top w:val="nil"/>
              <w:left w:val="nil"/>
              <w:bottom w:val="single" w:sz="4" w:space="0" w:color="auto"/>
              <w:right w:val="single" w:sz="4" w:space="0" w:color="auto"/>
            </w:tcBorders>
            <w:noWrap/>
            <w:vAlign w:val="bottom"/>
            <w:hideMark/>
          </w:tcPr>
          <w:p w14:paraId="69ECE981"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Bolu</w:t>
            </w:r>
          </w:p>
        </w:tc>
        <w:tc>
          <w:tcPr>
            <w:tcW w:w="990" w:type="dxa"/>
            <w:tcBorders>
              <w:top w:val="nil"/>
              <w:left w:val="nil"/>
              <w:bottom w:val="single" w:sz="4" w:space="0" w:color="auto"/>
              <w:right w:val="single" w:sz="4" w:space="0" w:color="auto"/>
            </w:tcBorders>
            <w:noWrap/>
            <w:vAlign w:val="bottom"/>
            <w:hideMark/>
          </w:tcPr>
          <w:p w14:paraId="40C6F964"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Aladağ</w:t>
            </w:r>
          </w:p>
        </w:tc>
        <w:tc>
          <w:tcPr>
            <w:tcW w:w="1201" w:type="dxa"/>
            <w:tcBorders>
              <w:top w:val="nil"/>
              <w:left w:val="nil"/>
              <w:bottom w:val="single" w:sz="4" w:space="0" w:color="auto"/>
              <w:right w:val="single" w:sz="4" w:space="0" w:color="auto"/>
            </w:tcBorders>
            <w:noWrap/>
            <w:vAlign w:val="bottom"/>
            <w:hideMark/>
          </w:tcPr>
          <w:p w14:paraId="2C5A5103"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Kokez</w:t>
            </w:r>
          </w:p>
        </w:tc>
      </w:tr>
      <w:tr w:rsidR="00AD6AB8" w:rsidRPr="00AD6AB8" w14:paraId="458156B3" w14:textId="77777777" w:rsidTr="00AD6AB8">
        <w:trPr>
          <w:trHeight w:val="285"/>
          <w:jc w:val="center"/>
        </w:trPr>
        <w:tc>
          <w:tcPr>
            <w:tcW w:w="948" w:type="dxa"/>
            <w:tcBorders>
              <w:top w:val="nil"/>
              <w:left w:val="single" w:sz="4" w:space="0" w:color="auto"/>
              <w:bottom w:val="single" w:sz="4" w:space="0" w:color="auto"/>
              <w:right w:val="single" w:sz="4" w:space="0" w:color="auto"/>
            </w:tcBorders>
            <w:noWrap/>
            <w:vAlign w:val="bottom"/>
            <w:hideMark/>
          </w:tcPr>
          <w:p w14:paraId="57C1941B" w14:textId="77777777" w:rsidR="00AD6AB8" w:rsidRPr="00AD6AB8" w:rsidRDefault="00AD6AB8" w:rsidP="00AD6AB8">
            <w:pPr>
              <w:spacing w:after="0" w:line="240" w:lineRule="auto"/>
              <w:rPr>
                <w:rFonts w:ascii="Calibri" w:eastAsia="Times New Roman" w:hAnsi="Calibri" w:cs="Calibri"/>
                <w:kern w:val="0"/>
                <w:sz w:val="22"/>
                <w:szCs w:val="22"/>
                <w14:ligatures w14:val="none"/>
              </w:rPr>
            </w:pPr>
            <w:r w:rsidRPr="00AD6AB8">
              <w:rPr>
                <w:rFonts w:ascii="Calibri" w:eastAsia="Times New Roman" w:hAnsi="Calibri" w:cs="Calibri"/>
                <w:kern w:val="0"/>
                <w:sz w:val="22"/>
                <w:szCs w:val="22"/>
                <w14:ligatures w14:val="none"/>
              </w:rPr>
              <w:t>Turkish</w:t>
            </w:r>
          </w:p>
        </w:tc>
        <w:tc>
          <w:tcPr>
            <w:tcW w:w="947" w:type="dxa"/>
            <w:tcBorders>
              <w:top w:val="nil"/>
              <w:left w:val="nil"/>
              <w:bottom w:val="single" w:sz="4" w:space="0" w:color="auto"/>
              <w:right w:val="single" w:sz="4" w:space="0" w:color="auto"/>
            </w:tcBorders>
            <w:noWrap/>
            <w:vAlign w:val="center"/>
            <w:hideMark/>
          </w:tcPr>
          <w:p w14:paraId="385BBB42"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KAR</w:t>
            </w:r>
          </w:p>
        </w:tc>
        <w:tc>
          <w:tcPr>
            <w:tcW w:w="876" w:type="dxa"/>
            <w:tcBorders>
              <w:top w:val="nil"/>
              <w:left w:val="nil"/>
              <w:bottom w:val="single" w:sz="4" w:space="0" w:color="auto"/>
              <w:right w:val="single" w:sz="4" w:space="0" w:color="auto"/>
            </w:tcBorders>
            <w:shd w:val="clear" w:color="000000" w:fill="00B050"/>
            <w:noWrap/>
            <w:vAlign w:val="center"/>
            <w:hideMark/>
          </w:tcPr>
          <w:p w14:paraId="322B9896"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21-40</w:t>
            </w:r>
          </w:p>
        </w:tc>
        <w:tc>
          <w:tcPr>
            <w:tcW w:w="1258" w:type="dxa"/>
            <w:tcBorders>
              <w:top w:val="nil"/>
              <w:left w:val="nil"/>
              <w:bottom w:val="single" w:sz="4" w:space="0" w:color="auto"/>
              <w:right w:val="single" w:sz="4" w:space="0" w:color="auto"/>
            </w:tcBorders>
            <w:noWrap/>
            <w:vAlign w:val="bottom"/>
            <w:hideMark/>
          </w:tcPr>
          <w:p w14:paraId="4D898284" w14:textId="77777777" w:rsidR="00AD6AB8" w:rsidRPr="00AD6AB8" w:rsidRDefault="00AD6AB8" w:rsidP="00AD6AB8">
            <w:pPr>
              <w:spacing w:after="0" w:line="240" w:lineRule="auto"/>
              <w:rPr>
                <w:rFonts w:ascii="Calibri" w:eastAsia="Times New Roman" w:hAnsi="Calibri" w:cs="Calibri"/>
                <w:kern w:val="0"/>
                <w:sz w:val="22"/>
                <w:szCs w:val="22"/>
                <w14:ligatures w14:val="none"/>
              </w:rPr>
            </w:pPr>
            <w:r w:rsidRPr="00AD6AB8">
              <w:rPr>
                <w:rFonts w:ascii="Calibri" w:eastAsia="Times New Roman" w:hAnsi="Calibri" w:cs="Calibri"/>
                <w:kern w:val="0"/>
                <w:sz w:val="22"/>
                <w:szCs w:val="22"/>
                <w14:ligatures w14:val="none"/>
              </w:rPr>
              <w:t>Karabük</w:t>
            </w:r>
          </w:p>
        </w:tc>
        <w:tc>
          <w:tcPr>
            <w:tcW w:w="990" w:type="dxa"/>
            <w:tcBorders>
              <w:top w:val="nil"/>
              <w:left w:val="nil"/>
              <w:bottom w:val="single" w:sz="4" w:space="0" w:color="auto"/>
              <w:right w:val="single" w:sz="4" w:space="0" w:color="auto"/>
            </w:tcBorders>
            <w:noWrap/>
            <w:vAlign w:val="bottom"/>
            <w:hideMark/>
          </w:tcPr>
          <w:p w14:paraId="2F60DB7E" w14:textId="77777777" w:rsidR="00AD6AB8" w:rsidRPr="00AD6AB8" w:rsidRDefault="00AD6AB8" w:rsidP="00AD6AB8">
            <w:pPr>
              <w:spacing w:after="0" w:line="240" w:lineRule="auto"/>
              <w:rPr>
                <w:rFonts w:ascii="Calibri" w:eastAsia="Times New Roman" w:hAnsi="Calibri" w:cs="Calibri"/>
                <w:kern w:val="0"/>
                <w:sz w:val="22"/>
                <w:szCs w:val="22"/>
                <w14:ligatures w14:val="none"/>
              </w:rPr>
            </w:pPr>
            <w:r w:rsidRPr="00AD6AB8">
              <w:rPr>
                <w:rFonts w:ascii="Calibri" w:eastAsia="Times New Roman" w:hAnsi="Calibri" w:cs="Calibri"/>
                <w:kern w:val="0"/>
                <w:sz w:val="22"/>
                <w:szCs w:val="22"/>
                <w14:ligatures w14:val="none"/>
              </w:rPr>
              <w:t>Keltepe</w:t>
            </w:r>
          </w:p>
        </w:tc>
        <w:tc>
          <w:tcPr>
            <w:tcW w:w="1201" w:type="dxa"/>
            <w:tcBorders>
              <w:top w:val="nil"/>
              <w:left w:val="nil"/>
              <w:bottom w:val="single" w:sz="4" w:space="0" w:color="auto"/>
              <w:right w:val="single" w:sz="4" w:space="0" w:color="auto"/>
            </w:tcBorders>
            <w:noWrap/>
            <w:vAlign w:val="bottom"/>
            <w:hideMark/>
          </w:tcPr>
          <w:p w14:paraId="31D14CF0" w14:textId="77777777" w:rsidR="00AD6AB8" w:rsidRPr="00AD6AB8" w:rsidRDefault="00AD6AB8" w:rsidP="00AD6AB8">
            <w:pPr>
              <w:spacing w:after="0" w:line="240" w:lineRule="auto"/>
              <w:rPr>
                <w:rFonts w:ascii="Calibri" w:eastAsia="Times New Roman" w:hAnsi="Calibri" w:cs="Calibri"/>
                <w:kern w:val="0"/>
                <w:sz w:val="22"/>
                <w:szCs w:val="22"/>
                <w14:ligatures w14:val="none"/>
              </w:rPr>
            </w:pPr>
            <w:r w:rsidRPr="00AD6AB8">
              <w:rPr>
                <w:rFonts w:ascii="Calibri" w:eastAsia="Times New Roman" w:hAnsi="Calibri" w:cs="Calibri"/>
                <w:kern w:val="0"/>
                <w:sz w:val="22"/>
                <w:szCs w:val="22"/>
                <w14:ligatures w14:val="none"/>
              </w:rPr>
              <w:t>Keltepe</w:t>
            </w:r>
          </w:p>
        </w:tc>
      </w:tr>
      <w:tr w:rsidR="00AD6AB8" w:rsidRPr="00AD6AB8" w14:paraId="4073FCE5" w14:textId="77777777" w:rsidTr="00AD6AB8">
        <w:trPr>
          <w:trHeight w:val="285"/>
          <w:jc w:val="center"/>
        </w:trPr>
        <w:tc>
          <w:tcPr>
            <w:tcW w:w="948" w:type="dxa"/>
            <w:tcBorders>
              <w:top w:val="nil"/>
              <w:left w:val="single" w:sz="4" w:space="0" w:color="auto"/>
              <w:bottom w:val="single" w:sz="4" w:space="0" w:color="auto"/>
              <w:right w:val="single" w:sz="4" w:space="0" w:color="auto"/>
            </w:tcBorders>
            <w:noWrap/>
            <w:vAlign w:val="bottom"/>
            <w:hideMark/>
          </w:tcPr>
          <w:p w14:paraId="0DE7DDC2"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Turkish</w:t>
            </w:r>
          </w:p>
        </w:tc>
        <w:tc>
          <w:tcPr>
            <w:tcW w:w="947" w:type="dxa"/>
            <w:tcBorders>
              <w:top w:val="nil"/>
              <w:left w:val="nil"/>
              <w:bottom w:val="single" w:sz="4" w:space="0" w:color="auto"/>
              <w:right w:val="single" w:sz="4" w:space="0" w:color="auto"/>
            </w:tcBorders>
            <w:noWrap/>
            <w:vAlign w:val="center"/>
            <w:hideMark/>
          </w:tcPr>
          <w:p w14:paraId="13330EF5"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AKY</w:t>
            </w:r>
          </w:p>
        </w:tc>
        <w:tc>
          <w:tcPr>
            <w:tcW w:w="876" w:type="dxa"/>
            <w:tcBorders>
              <w:top w:val="nil"/>
              <w:left w:val="nil"/>
              <w:bottom w:val="single" w:sz="4" w:space="0" w:color="auto"/>
              <w:right w:val="single" w:sz="4" w:space="0" w:color="auto"/>
            </w:tcBorders>
            <w:shd w:val="clear" w:color="000000" w:fill="A6A6A6"/>
            <w:noWrap/>
            <w:vAlign w:val="center"/>
            <w:hideMark/>
          </w:tcPr>
          <w:p w14:paraId="28D17850"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41-60</w:t>
            </w:r>
          </w:p>
        </w:tc>
        <w:tc>
          <w:tcPr>
            <w:tcW w:w="1258" w:type="dxa"/>
            <w:tcBorders>
              <w:top w:val="nil"/>
              <w:left w:val="nil"/>
              <w:bottom w:val="single" w:sz="4" w:space="0" w:color="auto"/>
              <w:right w:val="single" w:sz="4" w:space="0" w:color="auto"/>
            </w:tcBorders>
            <w:noWrap/>
            <w:vAlign w:val="bottom"/>
            <w:hideMark/>
          </w:tcPr>
          <w:p w14:paraId="07016E75"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Adapazarı</w:t>
            </w:r>
          </w:p>
        </w:tc>
        <w:tc>
          <w:tcPr>
            <w:tcW w:w="990" w:type="dxa"/>
            <w:tcBorders>
              <w:top w:val="nil"/>
              <w:left w:val="nil"/>
              <w:bottom w:val="single" w:sz="4" w:space="0" w:color="auto"/>
              <w:right w:val="single" w:sz="4" w:space="0" w:color="auto"/>
            </w:tcBorders>
            <w:noWrap/>
            <w:vAlign w:val="bottom"/>
            <w:hideMark/>
          </w:tcPr>
          <w:p w14:paraId="5CF7265D"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Akyazı</w:t>
            </w:r>
          </w:p>
        </w:tc>
        <w:tc>
          <w:tcPr>
            <w:tcW w:w="1201" w:type="dxa"/>
            <w:tcBorders>
              <w:top w:val="nil"/>
              <w:left w:val="nil"/>
              <w:bottom w:val="single" w:sz="4" w:space="0" w:color="auto"/>
              <w:right w:val="single" w:sz="4" w:space="0" w:color="auto"/>
            </w:tcBorders>
            <w:noWrap/>
            <w:vAlign w:val="bottom"/>
            <w:hideMark/>
          </w:tcPr>
          <w:p w14:paraId="1087AFE7"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Dokurcun</w:t>
            </w:r>
          </w:p>
        </w:tc>
      </w:tr>
      <w:tr w:rsidR="00AD6AB8" w:rsidRPr="00AD6AB8" w14:paraId="2772F68C" w14:textId="77777777" w:rsidTr="00AD6AB8">
        <w:trPr>
          <w:trHeight w:val="285"/>
          <w:jc w:val="center"/>
        </w:trPr>
        <w:tc>
          <w:tcPr>
            <w:tcW w:w="948" w:type="dxa"/>
            <w:tcBorders>
              <w:top w:val="nil"/>
              <w:left w:val="single" w:sz="4" w:space="0" w:color="auto"/>
              <w:bottom w:val="single" w:sz="4" w:space="0" w:color="auto"/>
              <w:right w:val="single" w:sz="4" w:space="0" w:color="auto"/>
            </w:tcBorders>
            <w:noWrap/>
            <w:vAlign w:val="bottom"/>
            <w:hideMark/>
          </w:tcPr>
          <w:p w14:paraId="3CB9BE13"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Trojan</w:t>
            </w:r>
          </w:p>
        </w:tc>
        <w:tc>
          <w:tcPr>
            <w:tcW w:w="947" w:type="dxa"/>
            <w:tcBorders>
              <w:top w:val="nil"/>
              <w:left w:val="nil"/>
              <w:bottom w:val="single" w:sz="4" w:space="0" w:color="auto"/>
              <w:right w:val="single" w:sz="4" w:space="0" w:color="auto"/>
            </w:tcBorders>
            <w:noWrap/>
            <w:vAlign w:val="center"/>
            <w:hideMark/>
          </w:tcPr>
          <w:p w14:paraId="3CBDB36C"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KAZ</w:t>
            </w:r>
          </w:p>
        </w:tc>
        <w:tc>
          <w:tcPr>
            <w:tcW w:w="876" w:type="dxa"/>
            <w:tcBorders>
              <w:top w:val="nil"/>
              <w:left w:val="nil"/>
              <w:bottom w:val="single" w:sz="4" w:space="0" w:color="auto"/>
              <w:right w:val="single" w:sz="4" w:space="0" w:color="auto"/>
            </w:tcBorders>
            <w:shd w:val="clear" w:color="000000" w:fill="FFFF00"/>
            <w:noWrap/>
            <w:vAlign w:val="center"/>
            <w:hideMark/>
          </w:tcPr>
          <w:p w14:paraId="54990BE0"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61-80</w:t>
            </w:r>
          </w:p>
        </w:tc>
        <w:tc>
          <w:tcPr>
            <w:tcW w:w="1258" w:type="dxa"/>
            <w:tcBorders>
              <w:top w:val="nil"/>
              <w:left w:val="nil"/>
              <w:bottom w:val="single" w:sz="4" w:space="0" w:color="auto"/>
              <w:right w:val="single" w:sz="4" w:space="0" w:color="auto"/>
            </w:tcBorders>
            <w:noWrap/>
            <w:vAlign w:val="bottom"/>
            <w:hideMark/>
          </w:tcPr>
          <w:p w14:paraId="0E6981D2"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Balıkesir</w:t>
            </w:r>
          </w:p>
        </w:tc>
        <w:tc>
          <w:tcPr>
            <w:tcW w:w="990" w:type="dxa"/>
            <w:tcBorders>
              <w:top w:val="nil"/>
              <w:left w:val="nil"/>
              <w:bottom w:val="single" w:sz="4" w:space="0" w:color="auto"/>
              <w:right w:val="single" w:sz="4" w:space="0" w:color="auto"/>
            </w:tcBorders>
            <w:noWrap/>
            <w:vAlign w:val="bottom"/>
            <w:hideMark/>
          </w:tcPr>
          <w:p w14:paraId="00A608EB"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Edremit</w:t>
            </w:r>
          </w:p>
        </w:tc>
        <w:tc>
          <w:tcPr>
            <w:tcW w:w="1201" w:type="dxa"/>
            <w:tcBorders>
              <w:top w:val="nil"/>
              <w:left w:val="nil"/>
              <w:bottom w:val="single" w:sz="4" w:space="0" w:color="auto"/>
              <w:right w:val="single" w:sz="4" w:space="0" w:color="auto"/>
            </w:tcBorders>
            <w:noWrap/>
            <w:vAlign w:val="bottom"/>
            <w:hideMark/>
          </w:tcPr>
          <w:p w14:paraId="7CB0D89D"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Kazdaği</w:t>
            </w:r>
          </w:p>
        </w:tc>
      </w:tr>
      <w:tr w:rsidR="00AD6AB8" w:rsidRPr="00AD6AB8" w14:paraId="4EE1E7FC" w14:textId="77777777" w:rsidTr="00AD6AB8">
        <w:trPr>
          <w:trHeight w:val="285"/>
          <w:jc w:val="center"/>
        </w:trPr>
        <w:tc>
          <w:tcPr>
            <w:tcW w:w="948" w:type="dxa"/>
            <w:tcBorders>
              <w:top w:val="nil"/>
              <w:left w:val="single" w:sz="4" w:space="0" w:color="auto"/>
              <w:bottom w:val="single" w:sz="4" w:space="0" w:color="auto"/>
              <w:right w:val="single" w:sz="4" w:space="0" w:color="auto"/>
            </w:tcBorders>
            <w:noWrap/>
            <w:vAlign w:val="bottom"/>
            <w:hideMark/>
          </w:tcPr>
          <w:p w14:paraId="00693374"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Trojan</w:t>
            </w:r>
          </w:p>
        </w:tc>
        <w:tc>
          <w:tcPr>
            <w:tcW w:w="947" w:type="dxa"/>
            <w:tcBorders>
              <w:top w:val="nil"/>
              <w:left w:val="nil"/>
              <w:bottom w:val="single" w:sz="4" w:space="0" w:color="auto"/>
              <w:right w:val="single" w:sz="4" w:space="0" w:color="auto"/>
            </w:tcBorders>
            <w:noWrap/>
            <w:vAlign w:val="center"/>
            <w:hideMark/>
          </w:tcPr>
          <w:p w14:paraId="5EE78D68"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CAN</w:t>
            </w:r>
          </w:p>
        </w:tc>
        <w:tc>
          <w:tcPr>
            <w:tcW w:w="876" w:type="dxa"/>
            <w:tcBorders>
              <w:top w:val="nil"/>
              <w:left w:val="nil"/>
              <w:bottom w:val="single" w:sz="4" w:space="0" w:color="auto"/>
              <w:right w:val="single" w:sz="4" w:space="0" w:color="auto"/>
            </w:tcBorders>
            <w:shd w:val="clear" w:color="000000" w:fill="00B0F0"/>
            <w:noWrap/>
            <w:vAlign w:val="center"/>
            <w:hideMark/>
          </w:tcPr>
          <w:p w14:paraId="7428A552" w14:textId="77777777" w:rsidR="00AD6AB8" w:rsidRPr="00AD6AB8" w:rsidRDefault="00AD6AB8" w:rsidP="00AD6AB8">
            <w:pPr>
              <w:spacing w:after="0" w:line="240" w:lineRule="auto"/>
              <w:jc w:val="center"/>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81-100</w:t>
            </w:r>
          </w:p>
        </w:tc>
        <w:tc>
          <w:tcPr>
            <w:tcW w:w="1258" w:type="dxa"/>
            <w:tcBorders>
              <w:top w:val="nil"/>
              <w:left w:val="nil"/>
              <w:bottom w:val="single" w:sz="4" w:space="0" w:color="auto"/>
              <w:right w:val="single" w:sz="4" w:space="0" w:color="auto"/>
            </w:tcBorders>
            <w:noWrap/>
            <w:vAlign w:val="bottom"/>
            <w:hideMark/>
          </w:tcPr>
          <w:p w14:paraId="565B4182"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Ҫanakkale</w:t>
            </w:r>
          </w:p>
        </w:tc>
        <w:tc>
          <w:tcPr>
            <w:tcW w:w="990" w:type="dxa"/>
            <w:tcBorders>
              <w:top w:val="nil"/>
              <w:left w:val="nil"/>
              <w:bottom w:val="single" w:sz="4" w:space="0" w:color="auto"/>
              <w:right w:val="single" w:sz="4" w:space="0" w:color="auto"/>
            </w:tcBorders>
            <w:noWrap/>
            <w:vAlign w:val="bottom"/>
            <w:hideMark/>
          </w:tcPr>
          <w:p w14:paraId="05ED08D9"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 xml:space="preserve"> Ҫan</w:t>
            </w:r>
          </w:p>
        </w:tc>
        <w:tc>
          <w:tcPr>
            <w:tcW w:w="1201" w:type="dxa"/>
            <w:tcBorders>
              <w:top w:val="nil"/>
              <w:left w:val="nil"/>
              <w:bottom w:val="single" w:sz="4" w:space="0" w:color="auto"/>
              <w:right w:val="single" w:sz="4" w:space="0" w:color="auto"/>
            </w:tcBorders>
            <w:noWrap/>
            <w:vAlign w:val="bottom"/>
            <w:hideMark/>
          </w:tcPr>
          <w:p w14:paraId="71792088" w14:textId="77777777" w:rsidR="00AD6AB8" w:rsidRPr="00AD6AB8" w:rsidRDefault="00AD6AB8" w:rsidP="00AD6AB8">
            <w:pPr>
              <w:spacing w:after="0" w:line="240" w:lineRule="auto"/>
              <w:rPr>
                <w:rFonts w:ascii="Calibri" w:eastAsia="Times New Roman" w:hAnsi="Calibri" w:cs="Calibri"/>
                <w:color w:val="000000"/>
                <w:kern w:val="0"/>
                <w:sz w:val="22"/>
                <w:szCs w:val="22"/>
                <w14:ligatures w14:val="none"/>
              </w:rPr>
            </w:pPr>
            <w:r w:rsidRPr="00AD6AB8">
              <w:rPr>
                <w:rFonts w:ascii="Calibri" w:eastAsia="Times New Roman" w:hAnsi="Calibri" w:cs="Calibri"/>
                <w:color w:val="000000"/>
                <w:kern w:val="0"/>
                <w:sz w:val="22"/>
                <w:szCs w:val="22"/>
                <w14:ligatures w14:val="none"/>
              </w:rPr>
              <w:t>Ҫan</w:t>
            </w:r>
          </w:p>
        </w:tc>
      </w:tr>
    </w:tbl>
    <w:p w14:paraId="77DF290D" w14:textId="706D2FBE" w:rsidR="00B92D72" w:rsidRDefault="00B92D72" w:rsidP="00B92D72">
      <w:r w:rsidRPr="00035B1A">
        <w:t xml:space="preserve">The goal was to identify regionally adapted alternative firs for use as Christmas tree species to help combat climate change and threats from diseases, such as </w:t>
      </w:r>
      <w:r w:rsidRPr="00035B1A">
        <w:rPr>
          <w:i/>
          <w:iCs/>
        </w:rPr>
        <w:t>Phytophthora</w:t>
      </w:r>
      <w:r w:rsidRPr="00035B1A">
        <w:t xml:space="preserve"> root rot. </w:t>
      </w:r>
      <w:bookmarkEnd w:id="1"/>
      <w:r w:rsidRPr="00035B1A">
        <w:t xml:space="preserve">The first project (CoFirGE-1) focused on performance of families of seedlings from the Turkish and Trojan fir trees, but also included seedlings from several sources of Nordmann fir and commonly grown North American species of true firs, such as noble and Fraser fir. </w:t>
      </w:r>
    </w:p>
    <w:p w14:paraId="427D43D9" w14:textId="22FFBF93" w:rsidR="00CD38A7" w:rsidRDefault="00C74C76" w:rsidP="00B92D72">
      <w:r w:rsidRPr="00035B1A">
        <w:t xml:space="preserve">To evaluate regional adaptability, seedlings were planted across six regions in the US and Denmark in 2013. </w:t>
      </w:r>
      <w:r>
        <w:t xml:space="preserve">The WSU CoFirGE-1 plot was located on Snowshoe Evergreen’s Nisqually Christmas tree farm. </w:t>
      </w:r>
      <w:r w:rsidRPr="00035B1A">
        <w:t xml:space="preserve">Data were collected </w:t>
      </w:r>
      <w:r w:rsidRPr="00C74C76">
        <w:t xml:space="preserve">on bud break, growth, quality, disease resistance, and postharvest needle retention at various times throughout the rotation. </w:t>
      </w:r>
      <w:r>
        <w:t>After 8</w:t>
      </w:r>
      <w:r w:rsidR="00571DD4">
        <w:t xml:space="preserve"> </w:t>
      </w:r>
      <w:r>
        <w:t>years, the</w:t>
      </w:r>
      <w:r w:rsidR="00CD38A7">
        <w:t xml:space="preserve"> height and grade (quality) of</w:t>
      </w:r>
      <w:r w:rsidR="005463B0">
        <w:t xml:space="preserve"> 2,445 trees from 92 families</w:t>
      </w:r>
      <w:r w:rsidR="00CD38A7">
        <w:t xml:space="preserve"> was determined. These variables and the prevailing wholesale prices of trees were then used to estimate the value of each tree. </w:t>
      </w:r>
      <w:r w:rsidR="005272CD">
        <w:t xml:space="preserve">Based on these estimates, Trojan fir represented 8 of the top 10 and 17 of the top 25 families in the trial. </w:t>
      </w:r>
      <w:r w:rsidR="00AD6AB8">
        <w:t xml:space="preserve">As indicated by the yellow bars in the following figure, the </w:t>
      </w:r>
      <w:r w:rsidR="00AD6AB8" w:rsidRPr="00AD6AB8">
        <w:t xml:space="preserve">Kazdaği </w:t>
      </w:r>
      <w:r w:rsidR="00AD6AB8">
        <w:t xml:space="preserve">Trojan fir families were consistently among the highest value families in the trial. </w:t>
      </w:r>
      <w:r w:rsidR="00DD5D7F">
        <w:t>In addition, among all the trees in the plot, t</w:t>
      </w:r>
      <w:r w:rsidR="00AD6AB8">
        <w:t>he top 1% of</w:t>
      </w:r>
      <w:r w:rsidR="00DD5D7F">
        <w:t xml:space="preserve"> </w:t>
      </w:r>
      <w:r w:rsidR="00AD6AB8">
        <w:t xml:space="preserve">trees with the highest value were all from </w:t>
      </w:r>
      <w:r w:rsidR="00AD6AB8" w:rsidRPr="00AD6AB8">
        <w:t>Kazdaği families</w:t>
      </w:r>
      <w:r w:rsidR="00C0077F">
        <w:t>.</w:t>
      </w:r>
    </w:p>
    <w:p w14:paraId="21F3C628" w14:textId="4812581A" w:rsidR="00CD38A7" w:rsidRDefault="008566E5" w:rsidP="00B92D72">
      <w:r>
        <w:rPr>
          <w:noProof/>
        </w:rPr>
        <w:drawing>
          <wp:inline distT="0" distB="0" distL="0" distR="0" wp14:anchorId="02CAA621" wp14:editId="666B8940">
            <wp:extent cx="5943600" cy="1343746"/>
            <wp:effectExtent l="0" t="0" r="0" b="8890"/>
            <wp:docPr id="18243012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343746"/>
                    </a:xfrm>
                    <a:prstGeom prst="rect">
                      <a:avLst/>
                    </a:prstGeom>
                    <a:noFill/>
                  </pic:spPr>
                </pic:pic>
              </a:graphicData>
            </a:graphic>
          </wp:inline>
        </w:drawing>
      </w:r>
    </w:p>
    <w:p w14:paraId="354998BB" w14:textId="27CA3B50" w:rsidR="00B92D72" w:rsidRPr="00035B1A" w:rsidRDefault="00B92D72" w:rsidP="00B92D72">
      <w:pPr>
        <w:rPr>
          <w:rFonts w:cs="Calibri"/>
        </w:rPr>
      </w:pPr>
      <w:r w:rsidRPr="00035B1A">
        <w:lastRenderedPageBreak/>
        <w:t>About five years ago, Chal Landgren, Judy Kowalski, Rick Bates (Penn State Univ.), and Gary Chastagner started laying the groundwork for the initiation of a second range-wide progeny test (CoFirGE-2). The goal of this RCTB funded project is to compare the adaptability and performance of seedlings from 12 of the top performing KazdağI Trojan fir families from the CoFirGE-1 trial and 11 families of potentially late bud breaking Nordmann fir from within the Ambrolauri, Okriba, Bakhmaro, and Borjomi provinces in the Republic of Georgia. Seedlings of Nordmann, Turkish, balsam, Canaan, Fraser and noble firs from established seed orchards located in the U.S., Canada, and Denmark are included for comparison.</w:t>
      </w:r>
      <w:r w:rsidRPr="00035B1A">
        <w:rPr>
          <w:rFonts w:cs="Calibri"/>
        </w:rPr>
        <w:t xml:space="preserve">  </w:t>
      </w:r>
      <w:bookmarkStart w:id="2" w:name="_Hlk171161873"/>
    </w:p>
    <w:p w14:paraId="2ADCBE50" w14:textId="1153B5B3" w:rsidR="00B92D72" w:rsidRPr="00035B1A" w:rsidRDefault="00005E28" w:rsidP="00B92D72">
      <w:pPr>
        <w:rPr>
          <w:rFonts w:cs="Calibri"/>
        </w:rPr>
      </w:pPr>
      <w:r w:rsidRPr="00C74C76">
        <w:rPr>
          <w:noProof/>
        </w:rPr>
        <w:drawing>
          <wp:anchor distT="0" distB="0" distL="114300" distR="114300" simplePos="0" relativeHeight="251662336" behindDoc="0" locked="0" layoutInCell="1" allowOverlap="1" wp14:anchorId="36B4567E" wp14:editId="5CC35EFF">
            <wp:simplePos x="0" y="0"/>
            <wp:positionH relativeFrom="column">
              <wp:posOffset>2314575</wp:posOffset>
            </wp:positionH>
            <wp:positionV relativeFrom="paragraph">
              <wp:posOffset>1544320</wp:posOffset>
            </wp:positionV>
            <wp:extent cx="3705225" cy="4776470"/>
            <wp:effectExtent l="0" t="0" r="9525" b="5080"/>
            <wp:wrapSquare wrapText="bothSides"/>
            <wp:docPr id="83485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477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D72" w:rsidRPr="00035B1A">
        <w:t>Collaborators on this project include Drs. Bert Cregg (Michigan State Univ.), Rick Bates, Rich Cowles (CT</w:t>
      </w:r>
      <w:r w:rsidR="00B92D72" w:rsidRPr="00035B1A">
        <w:rPr>
          <w:rFonts w:cs="Calibri"/>
        </w:rPr>
        <w:t xml:space="preserve"> </w:t>
      </w:r>
      <w:r w:rsidR="00B92D72" w:rsidRPr="00035B1A">
        <w:t>Ag. Exp. Station), and Justin Whitehill  (North Carolina State Univ.). In consultation with Dr. Justin Whitehill, who is the new Christmas tree geneticist at NCSU, 2-year-old container grown seedlings were used to establish a series of regional, replicated CoFirGE-2 plantings in environmentally diverse research and Christmas tree production sites in CA, CT, ID, MI, NC, OR, PA, and WA in 2023. Dr. Whitehill helped design the layout of the plantings to maximize the amount of genetic information that will be obtained from selected plots. The regional plantings in WA, OR, ID, and CA, are located at WSU REC, Puyallup; BTN of Oregon, Salem; Rusty Gate Tree Farm, Harrison; and Rapetti Farms, Placerville, respectively.</w:t>
      </w:r>
      <w:bookmarkStart w:id="3" w:name="_Hlk171069594"/>
      <w:bookmarkEnd w:id="2"/>
      <w:r w:rsidR="00B92D72" w:rsidRPr="00035B1A">
        <w:rPr>
          <w:rFonts w:cs="Calibri"/>
        </w:rPr>
        <w:t xml:space="preserve"> </w:t>
      </w:r>
    </w:p>
    <w:p w14:paraId="717DBBDB" w14:textId="649CB55A" w:rsidR="00B92D72" w:rsidRDefault="00B92D72" w:rsidP="00B92D72">
      <w:r w:rsidRPr="00035B1A">
        <w:t>Since planting, the condition of the trees in the WA, ID, and CA plots ha</w:t>
      </w:r>
      <w:r w:rsidR="00DD5D7F">
        <w:t>ve</w:t>
      </w:r>
      <w:r w:rsidRPr="00035B1A">
        <w:t xml:space="preserve"> been evaluated yearly. This includes </w:t>
      </w:r>
      <w:r w:rsidR="00BE2B26">
        <w:t xml:space="preserve">the collection of </w:t>
      </w:r>
      <w:r w:rsidRPr="00035B1A">
        <w:t xml:space="preserve">data on bud </w:t>
      </w:r>
      <w:r w:rsidR="00BE2B26">
        <w:t xml:space="preserve">break, frost/winter damage, disease and insect damage, and </w:t>
      </w:r>
      <w:r w:rsidRPr="00035B1A">
        <w:t xml:space="preserve">growth. </w:t>
      </w:r>
      <w:r w:rsidR="00BE2B26">
        <w:t xml:space="preserve">Eurasian fir, especially Trojan and Turkish fir, are very prone to last spring frost damage due to their early bud break. </w:t>
      </w:r>
      <w:r w:rsidRPr="00035B1A">
        <w:t>As indicated in the 2025 bud break data</w:t>
      </w:r>
      <w:r w:rsidR="00BE2B26">
        <w:t xml:space="preserve"> from the plot at WSU Puyallup</w:t>
      </w:r>
      <w:r w:rsidRPr="00035B1A">
        <w:t xml:space="preserve">, there is considerable variation in bud break among the trees within </w:t>
      </w:r>
      <w:r w:rsidR="000A7AA5">
        <w:t>families</w:t>
      </w:r>
      <w:r w:rsidRPr="00035B1A">
        <w:t xml:space="preserve"> (vertical lines) and the average bud break between species. </w:t>
      </w:r>
      <w:r w:rsidR="000A7AA5">
        <w:t xml:space="preserve">Of particular </w:t>
      </w:r>
      <w:r w:rsidR="000A7AA5">
        <w:lastRenderedPageBreak/>
        <w:t xml:space="preserve">note is the relatively late bud break of the Rye family (#33) of Turkish fir. </w:t>
      </w:r>
      <w:r w:rsidRPr="00035B1A">
        <w:rPr>
          <w:noProof/>
        </w:rPr>
        <w:t>Similar variation is evident in the height of the trees in 2025 after three growing seasons.</w:t>
      </w:r>
    </w:p>
    <w:p w14:paraId="6D917D38" w14:textId="57342E6C" w:rsidR="000A7AA5" w:rsidRDefault="000A7AA5" w:rsidP="000A7AA5">
      <w:r w:rsidRPr="00035B1A">
        <w:t>Measurements of bud break, growth, form, phenology, winter burn, current season necrosis, disease, pest damage, and postharvest quality will be collected from the trees in these and the other CoFirGE-2 plots over the next 6 to 8 years to identify sources of trees that are adapted to environmentally diverse planting sites.</w:t>
      </w:r>
    </w:p>
    <w:p w14:paraId="0A74DC86" w14:textId="2802DFE2" w:rsidR="002D73A4" w:rsidRDefault="002D73A4" w:rsidP="000A7AA5">
      <w:r>
        <w:rPr>
          <w:noProof/>
        </w:rPr>
        <w:drawing>
          <wp:inline distT="0" distB="0" distL="0" distR="0" wp14:anchorId="5671595A" wp14:editId="0CE1F238">
            <wp:extent cx="5287999" cy="2767012"/>
            <wp:effectExtent l="0" t="0" r="8255" b="0"/>
            <wp:docPr id="1877129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1884" cy="2810906"/>
                    </a:xfrm>
                    <a:prstGeom prst="rect">
                      <a:avLst/>
                    </a:prstGeom>
                    <a:noFill/>
                  </pic:spPr>
                </pic:pic>
              </a:graphicData>
            </a:graphic>
          </wp:inline>
        </w:drawing>
      </w:r>
    </w:p>
    <w:p w14:paraId="278CE053" w14:textId="29B884CE" w:rsidR="00B92D72" w:rsidRDefault="00005E28" w:rsidP="00B92D72">
      <w:pPr>
        <w:rPr>
          <w:noProof/>
        </w:rPr>
      </w:pPr>
      <w:r>
        <w:rPr>
          <w:noProof/>
        </w:rPr>
        <w:drawing>
          <wp:inline distT="0" distB="0" distL="0" distR="0" wp14:anchorId="26CB8F9B" wp14:editId="080D9A37">
            <wp:extent cx="5366875" cy="2470129"/>
            <wp:effectExtent l="0" t="0" r="5715" b="6985"/>
            <wp:docPr id="1574100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8504" cy="2489289"/>
                    </a:xfrm>
                    <a:prstGeom prst="rect">
                      <a:avLst/>
                    </a:prstGeom>
                    <a:noFill/>
                  </pic:spPr>
                </pic:pic>
              </a:graphicData>
            </a:graphic>
          </wp:inline>
        </w:drawing>
      </w:r>
    </w:p>
    <w:p w14:paraId="62869336" w14:textId="36AD77B2" w:rsidR="00B92D72" w:rsidRDefault="00E70BC8" w:rsidP="00B92D72">
      <w:pPr>
        <w:rPr>
          <w:rFonts w:ascii="Calibri" w:hAnsi="Calibri" w:cs="Calibri"/>
          <w:sz w:val="22"/>
          <w:szCs w:val="22"/>
        </w:rPr>
      </w:pPr>
      <w:r>
        <w:rPr>
          <w:rFonts w:ascii="Calibri" w:hAnsi="Calibri" w:cs="Calibri"/>
          <w:sz w:val="22"/>
          <w:szCs w:val="22"/>
        </w:rPr>
        <w:t xml:space="preserve">For a more detailed summary of the data that has been collected to date, view the slides from a presentation about the CoFirGE2 plots that was given at </w:t>
      </w:r>
      <w:r w:rsidR="00636B2C">
        <w:rPr>
          <w:rFonts w:ascii="Calibri" w:hAnsi="Calibri" w:cs="Calibri"/>
          <w:sz w:val="22"/>
          <w:szCs w:val="22"/>
        </w:rPr>
        <w:t>the 17</w:t>
      </w:r>
      <w:r w:rsidR="00636B2C" w:rsidRPr="00636B2C">
        <w:rPr>
          <w:rFonts w:ascii="Calibri" w:hAnsi="Calibri" w:cs="Calibri"/>
          <w:sz w:val="22"/>
          <w:szCs w:val="22"/>
          <w:vertAlign w:val="superscript"/>
        </w:rPr>
        <w:t>th</w:t>
      </w:r>
      <w:r w:rsidR="00636B2C">
        <w:rPr>
          <w:rFonts w:ascii="Calibri" w:hAnsi="Calibri" w:cs="Calibri"/>
          <w:sz w:val="22"/>
          <w:szCs w:val="22"/>
        </w:rPr>
        <w:t xml:space="preserve"> IUFRO</w:t>
      </w:r>
      <w:r>
        <w:rPr>
          <w:rFonts w:ascii="Calibri" w:hAnsi="Calibri" w:cs="Calibri"/>
          <w:sz w:val="22"/>
          <w:szCs w:val="22"/>
        </w:rPr>
        <w:t xml:space="preserve"> International Christmas Tree Research and Extension conference in June ’26</w:t>
      </w:r>
      <w:r w:rsidR="00571DD4">
        <w:rPr>
          <w:rFonts w:ascii="Calibri" w:hAnsi="Calibri" w:cs="Calibri"/>
          <w:sz w:val="22"/>
          <w:szCs w:val="22"/>
        </w:rPr>
        <w:t>, which is available on this website</w:t>
      </w:r>
      <w:r>
        <w:rPr>
          <w:rFonts w:ascii="Calibri" w:hAnsi="Calibri" w:cs="Calibri"/>
          <w:sz w:val="22"/>
          <w:szCs w:val="22"/>
        </w:rPr>
        <w:t>.</w:t>
      </w:r>
      <w:bookmarkEnd w:id="3"/>
    </w:p>
    <w:p w14:paraId="35B11274" w14:textId="3D955C21" w:rsidR="00005E28" w:rsidRDefault="00005E28" w:rsidP="00B92D72">
      <w:pPr>
        <w:rPr>
          <w:rFonts w:ascii="Calibri" w:hAnsi="Calibri" w:cs="Calibri"/>
          <w:sz w:val="22"/>
          <w:szCs w:val="22"/>
        </w:rPr>
      </w:pPr>
    </w:p>
    <w:p w14:paraId="47A37009" w14:textId="77777777" w:rsidR="00005E28" w:rsidRDefault="00005E28" w:rsidP="00B92D72">
      <w:pPr>
        <w:rPr>
          <w:rFonts w:ascii="Calibri" w:hAnsi="Calibri" w:cs="Calibri"/>
          <w:sz w:val="22"/>
          <w:szCs w:val="22"/>
        </w:rPr>
      </w:pPr>
    </w:p>
    <w:sectPr w:rsidR="00005E28" w:rsidSect="00B92D72">
      <w:pgSz w:w="12240" w:h="15840" w:code="1"/>
      <w:pgMar w:top="1440" w:right="1440" w:bottom="1440" w:left="1440" w:header="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72"/>
    <w:rsid w:val="00005E28"/>
    <w:rsid w:val="00043CEF"/>
    <w:rsid w:val="00097E03"/>
    <w:rsid w:val="000A7AA5"/>
    <w:rsid w:val="002978B4"/>
    <w:rsid w:val="002D73A4"/>
    <w:rsid w:val="003471C2"/>
    <w:rsid w:val="0040528D"/>
    <w:rsid w:val="004161B6"/>
    <w:rsid w:val="005272CD"/>
    <w:rsid w:val="005463B0"/>
    <w:rsid w:val="00571DD4"/>
    <w:rsid w:val="005F6C07"/>
    <w:rsid w:val="00604DB9"/>
    <w:rsid w:val="00636B2C"/>
    <w:rsid w:val="00730BBF"/>
    <w:rsid w:val="007D358D"/>
    <w:rsid w:val="008566E5"/>
    <w:rsid w:val="00893516"/>
    <w:rsid w:val="008A7A3B"/>
    <w:rsid w:val="00AC0B65"/>
    <w:rsid w:val="00AD6AB8"/>
    <w:rsid w:val="00AE0F47"/>
    <w:rsid w:val="00B92D72"/>
    <w:rsid w:val="00BE2B26"/>
    <w:rsid w:val="00C0001B"/>
    <w:rsid w:val="00C0077F"/>
    <w:rsid w:val="00C74C76"/>
    <w:rsid w:val="00C75C3C"/>
    <w:rsid w:val="00CB4F6C"/>
    <w:rsid w:val="00CD38A7"/>
    <w:rsid w:val="00DD5D7F"/>
    <w:rsid w:val="00E70BC8"/>
    <w:rsid w:val="00EA6B73"/>
    <w:rsid w:val="00FE4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11B32"/>
  <w15:chartTrackingRefBased/>
  <w15:docId w15:val="{88148D32-0281-409E-A670-7BA6E580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72"/>
  </w:style>
  <w:style w:type="paragraph" w:styleId="Heading1">
    <w:name w:val="heading 1"/>
    <w:basedOn w:val="Normal"/>
    <w:next w:val="Normal"/>
    <w:link w:val="Heading1Char"/>
    <w:uiPriority w:val="9"/>
    <w:qFormat/>
    <w:rsid w:val="00B92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2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2D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2D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2D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2D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D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D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D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D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2D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2D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2D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2D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2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D72"/>
    <w:rPr>
      <w:rFonts w:eastAsiaTheme="majorEastAsia" w:cstheme="majorBidi"/>
      <w:color w:val="272727" w:themeColor="text1" w:themeTint="D8"/>
    </w:rPr>
  </w:style>
  <w:style w:type="paragraph" w:styleId="Title">
    <w:name w:val="Title"/>
    <w:basedOn w:val="Normal"/>
    <w:next w:val="Normal"/>
    <w:link w:val="TitleChar"/>
    <w:uiPriority w:val="10"/>
    <w:qFormat/>
    <w:rsid w:val="00B92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D72"/>
    <w:pPr>
      <w:spacing w:before="160"/>
      <w:jc w:val="center"/>
    </w:pPr>
    <w:rPr>
      <w:i/>
      <w:iCs/>
      <w:color w:val="404040" w:themeColor="text1" w:themeTint="BF"/>
    </w:rPr>
  </w:style>
  <w:style w:type="character" w:customStyle="1" w:styleId="QuoteChar">
    <w:name w:val="Quote Char"/>
    <w:basedOn w:val="DefaultParagraphFont"/>
    <w:link w:val="Quote"/>
    <w:uiPriority w:val="29"/>
    <w:rsid w:val="00B92D72"/>
    <w:rPr>
      <w:i/>
      <w:iCs/>
      <w:color w:val="404040" w:themeColor="text1" w:themeTint="BF"/>
    </w:rPr>
  </w:style>
  <w:style w:type="paragraph" w:styleId="ListParagraph">
    <w:name w:val="List Paragraph"/>
    <w:basedOn w:val="Normal"/>
    <w:uiPriority w:val="34"/>
    <w:qFormat/>
    <w:rsid w:val="00B92D72"/>
    <w:pPr>
      <w:ind w:left="720"/>
      <w:contextualSpacing/>
    </w:pPr>
  </w:style>
  <w:style w:type="character" w:styleId="IntenseEmphasis">
    <w:name w:val="Intense Emphasis"/>
    <w:basedOn w:val="DefaultParagraphFont"/>
    <w:uiPriority w:val="21"/>
    <w:qFormat/>
    <w:rsid w:val="00B92D72"/>
    <w:rPr>
      <w:i/>
      <w:iCs/>
      <w:color w:val="2F5496" w:themeColor="accent1" w:themeShade="BF"/>
    </w:rPr>
  </w:style>
  <w:style w:type="paragraph" w:styleId="IntenseQuote">
    <w:name w:val="Intense Quote"/>
    <w:basedOn w:val="Normal"/>
    <w:next w:val="Normal"/>
    <w:link w:val="IntenseQuoteChar"/>
    <w:uiPriority w:val="30"/>
    <w:qFormat/>
    <w:rsid w:val="00B92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2D72"/>
    <w:rPr>
      <w:i/>
      <w:iCs/>
      <w:color w:val="2F5496" w:themeColor="accent1" w:themeShade="BF"/>
    </w:rPr>
  </w:style>
  <w:style w:type="character" w:styleId="IntenseReference">
    <w:name w:val="Intense Reference"/>
    <w:basedOn w:val="DefaultParagraphFont"/>
    <w:uiPriority w:val="32"/>
    <w:qFormat/>
    <w:rsid w:val="00B92D72"/>
    <w:rPr>
      <w:b/>
      <w:bCs/>
      <w:smallCaps/>
      <w:color w:val="2F5496" w:themeColor="accent1" w:themeShade="BF"/>
      <w:spacing w:val="5"/>
    </w:rPr>
  </w:style>
  <w:style w:type="paragraph" w:styleId="Revision">
    <w:name w:val="Revision"/>
    <w:hidden/>
    <w:uiPriority w:val="99"/>
    <w:semiHidden/>
    <w:rsid w:val="00571DD4"/>
    <w:pPr>
      <w:spacing w:after="0" w:line="240" w:lineRule="auto"/>
    </w:pPr>
  </w:style>
  <w:style w:type="character" w:styleId="CommentReference">
    <w:name w:val="annotation reference"/>
    <w:basedOn w:val="DefaultParagraphFont"/>
    <w:uiPriority w:val="99"/>
    <w:semiHidden/>
    <w:unhideWhenUsed/>
    <w:rsid w:val="00571DD4"/>
    <w:rPr>
      <w:sz w:val="16"/>
      <w:szCs w:val="16"/>
    </w:rPr>
  </w:style>
  <w:style w:type="paragraph" w:styleId="CommentText">
    <w:name w:val="annotation text"/>
    <w:basedOn w:val="Normal"/>
    <w:link w:val="CommentTextChar"/>
    <w:uiPriority w:val="99"/>
    <w:unhideWhenUsed/>
    <w:rsid w:val="00571DD4"/>
    <w:pPr>
      <w:spacing w:line="240" w:lineRule="auto"/>
    </w:pPr>
    <w:rPr>
      <w:sz w:val="20"/>
      <w:szCs w:val="20"/>
    </w:rPr>
  </w:style>
  <w:style w:type="character" w:customStyle="1" w:styleId="CommentTextChar">
    <w:name w:val="Comment Text Char"/>
    <w:basedOn w:val="DefaultParagraphFont"/>
    <w:link w:val="CommentText"/>
    <w:uiPriority w:val="99"/>
    <w:rsid w:val="00571DD4"/>
    <w:rPr>
      <w:sz w:val="20"/>
      <w:szCs w:val="20"/>
    </w:rPr>
  </w:style>
  <w:style w:type="paragraph" w:styleId="CommentSubject">
    <w:name w:val="annotation subject"/>
    <w:basedOn w:val="CommentText"/>
    <w:next w:val="CommentText"/>
    <w:link w:val="CommentSubjectChar"/>
    <w:uiPriority w:val="99"/>
    <w:semiHidden/>
    <w:unhideWhenUsed/>
    <w:rsid w:val="00571DD4"/>
    <w:rPr>
      <w:b/>
      <w:bCs/>
    </w:rPr>
  </w:style>
  <w:style w:type="character" w:customStyle="1" w:styleId="CommentSubjectChar">
    <w:name w:val="Comment Subject Char"/>
    <w:basedOn w:val="CommentTextChar"/>
    <w:link w:val="CommentSubject"/>
    <w:uiPriority w:val="99"/>
    <w:semiHidden/>
    <w:rsid w:val="00571D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770</Words>
  <Characters>4391</Characters>
  <Application>Microsoft Office Word</Application>
  <DocSecurity>0</DocSecurity>
  <Lines>36</Lines>
  <Paragraphs>10</Paragraphs>
  <ScaleCrop>false</ScaleCrop>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Chastagner, Gary A</dc:creator>
  <cp:keywords/>
  <dc:description/>
  <cp:lastModifiedBy>Elliott, Marianne</cp:lastModifiedBy>
  <cp:revision>5</cp:revision>
  <dcterms:created xsi:type="dcterms:W3CDTF">2026-08-18T22:42:00Z</dcterms:created>
  <dcterms:modified xsi:type="dcterms:W3CDTF">2026-08-19T16:05:00Z</dcterms:modified>
</cp:coreProperties>
</file>