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61" w:rsidRPr="007408A3" w:rsidRDefault="00510861" w:rsidP="00510861">
      <w:pPr>
        <w:rPr>
          <w:rFonts w:ascii="ITC Stone Serif Std Medium" w:eastAsia="Meiryo" w:hAnsi="ITC Stone Serif Std Medium"/>
          <w:sz w:val="19"/>
          <w:szCs w:val="19"/>
        </w:rPr>
      </w:pPr>
    </w:p>
    <w:p w:rsidR="00510861" w:rsidRDefault="009E64D3" w:rsidP="00510861">
      <w:pPr>
        <w:rPr>
          <w:rFonts w:ascii="ITC Stone Serif Std Medium" w:eastAsia="Meiryo" w:hAnsi="ITC Stone Serif Std Medium"/>
          <w:sz w:val="19"/>
          <w:szCs w:val="19"/>
        </w:rPr>
      </w:pPr>
      <w:r>
        <w:rPr>
          <w:rFonts w:ascii="ITC Stone Serif Std Medium" w:eastAsia="Meiryo" w:hAnsi="ITC Stone Serif Std Medium"/>
          <w:sz w:val="19"/>
          <w:szCs w:val="19"/>
        </w:rPr>
        <w:t xml:space="preserve">To:  </w:t>
      </w:r>
      <w:r>
        <w:rPr>
          <w:rFonts w:ascii="ITC Stone Serif Std Medium" w:eastAsia="Meiryo" w:hAnsi="ITC Stone Serif Std Medium"/>
          <w:sz w:val="19"/>
          <w:szCs w:val="19"/>
        </w:rPr>
        <w:tab/>
      </w:r>
      <w:r>
        <w:rPr>
          <w:rFonts w:ascii="ITC Stone Serif Std Medium" w:eastAsia="Meiryo" w:hAnsi="ITC Stone Serif Std Medium"/>
          <w:sz w:val="19"/>
          <w:szCs w:val="19"/>
        </w:rPr>
        <w:tab/>
        <w:t>Faculty Senate</w:t>
      </w:r>
      <w:r>
        <w:rPr>
          <w:rFonts w:ascii="ITC Stone Serif Std Medium" w:eastAsia="Meiryo" w:hAnsi="ITC Stone Serif Std Medium"/>
          <w:sz w:val="19"/>
          <w:szCs w:val="19"/>
        </w:rPr>
        <w:br/>
        <w:t>From:</w:t>
      </w:r>
      <w:r>
        <w:rPr>
          <w:rFonts w:ascii="ITC Stone Serif Std Medium" w:eastAsia="Meiryo" w:hAnsi="ITC Stone Serif Std Medium"/>
          <w:sz w:val="19"/>
          <w:szCs w:val="19"/>
        </w:rPr>
        <w:tab/>
      </w:r>
      <w:r>
        <w:rPr>
          <w:rFonts w:ascii="ITC Stone Serif Std Medium" w:eastAsia="Meiryo" w:hAnsi="ITC Stone Serif Std Medium"/>
          <w:sz w:val="19"/>
          <w:szCs w:val="19"/>
        </w:rPr>
        <w:tab/>
        <w:t>Faculty Senate Steering Committee</w:t>
      </w:r>
    </w:p>
    <w:p w:rsidR="009E64D3" w:rsidRDefault="009E64D3" w:rsidP="00510861">
      <w:pPr>
        <w:rPr>
          <w:rFonts w:ascii="ITC Stone Serif Std Medium" w:eastAsia="Meiryo" w:hAnsi="ITC Stone Serif Std Medium"/>
          <w:sz w:val="19"/>
          <w:szCs w:val="19"/>
        </w:rPr>
      </w:pPr>
      <w:r>
        <w:rPr>
          <w:rFonts w:ascii="ITC Stone Serif Std Medium" w:eastAsia="Meiryo" w:hAnsi="ITC Stone Serif Std Medium"/>
          <w:sz w:val="19"/>
          <w:szCs w:val="19"/>
        </w:rPr>
        <w:t>Subject:</w:t>
      </w:r>
      <w:r>
        <w:rPr>
          <w:rFonts w:ascii="ITC Stone Serif Std Medium" w:eastAsia="Meiryo" w:hAnsi="ITC Stone Serif Std Medium"/>
          <w:sz w:val="19"/>
          <w:szCs w:val="19"/>
        </w:rPr>
        <w:tab/>
        <w:t xml:space="preserve">Amend Senate Bylaws </w:t>
      </w:r>
    </w:p>
    <w:p w:rsidR="00510861" w:rsidRDefault="009E64D3" w:rsidP="00510861">
      <w:pPr>
        <w:rPr>
          <w:rFonts w:ascii="ITC Stone Serif Std Medium" w:eastAsia="Meiryo" w:hAnsi="ITC Stone Serif Std Medium"/>
          <w:sz w:val="19"/>
          <w:szCs w:val="19"/>
        </w:rPr>
      </w:pPr>
      <w:r>
        <w:rPr>
          <w:rFonts w:ascii="ITC Stone Serif Std Medium" w:eastAsia="Meiryo" w:hAnsi="ITC Stone Serif Std Medium"/>
          <w:sz w:val="19"/>
          <w:szCs w:val="19"/>
        </w:rPr>
        <w:t>Date:</w:t>
      </w:r>
      <w:r>
        <w:rPr>
          <w:rFonts w:ascii="ITC Stone Serif Std Medium" w:eastAsia="Meiryo" w:hAnsi="ITC Stone Serif Std Medium"/>
          <w:sz w:val="19"/>
          <w:szCs w:val="19"/>
        </w:rPr>
        <w:tab/>
      </w:r>
      <w:r>
        <w:rPr>
          <w:rFonts w:ascii="ITC Stone Serif Std Medium" w:eastAsia="Meiryo" w:hAnsi="ITC Stone Serif Std Medium"/>
          <w:sz w:val="19"/>
          <w:szCs w:val="19"/>
        </w:rPr>
        <w:tab/>
      </w:r>
      <w:r w:rsidRPr="009E64D3">
        <w:rPr>
          <w:rFonts w:ascii="ITC Stone Serif Std Medium" w:eastAsia="Meiryo" w:hAnsi="ITC Stone Serif Std Medium"/>
          <w:sz w:val="19"/>
          <w:szCs w:val="19"/>
        </w:rPr>
        <w:t>November 10, 2015</w:t>
      </w:r>
    </w:p>
    <w:p w:rsidR="009E64D3" w:rsidRDefault="009E64D3" w:rsidP="00510861">
      <w:pPr>
        <w:rPr>
          <w:rFonts w:ascii="ITC Stone Serif Std Medium" w:eastAsia="Meiryo" w:hAnsi="ITC Stone Serif Std Medium"/>
          <w:sz w:val="19"/>
          <w:szCs w:val="19"/>
        </w:rPr>
      </w:pPr>
    </w:p>
    <w:p w:rsidR="009E64D3" w:rsidRPr="007408A3" w:rsidRDefault="009E64D3" w:rsidP="00510861">
      <w:pPr>
        <w:rPr>
          <w:rFonts w:ascii="ITC Stone Serif Std Medium" w:eastAsia="Meiryo" w:hAnsi="ITC Stone Serif Std Medium"/>
          <w:sz w:val="19"/>
          <w:szCs w:val="19"/>
        </w:rPr>
      </w:pPr>
      <w:bookmarkStart w:id="0" w:name="_GoBack"/>
      <w:bookmarkEnd w:id="0"/>
    </w:p>
    <w:p w:rsidR="009E64D3" w:rsidRDefault="009E64D3" w:rsidP="009E64D3">
      <w:pPr>
        <w:widowControl w:val="0"/>
        <w:autoSpaceDE w:val="0"/>
        <w:autoSpaceDN w:val="0"/>
        <w:adjustRightInd w:val="0"/>
        <w:spacing w:after="280"/>
        <w:rPr>
          <w:rFonts w:ascii="Arial" w:hAnsi="Arial" w:cs="Arial"/>
        </w:rPr>
      </w:pPr>
      <w:r>
        <w:rPr>
          <w:rFonts w:ascii="Arial" w:hAnsi="Arial" w:cs="Arial"/>
        </w:rPr>
        <w:t>To accommodate the new College of Medicine and the increased number of NTT faculty on campus, the following changes to the Senate Bylaws are suggested.  Previously Business and Education share</w:t>
      </w:r>
      <w:r w:rsidR="00AF205D">
        <w:rPr>
          <w:rFonts w:ascii="Arial" w:hAnsi="Arial" w:cs="Arial"/>
        </w:rPr>
        <w:t>d</w:t>
      </w:r>
      <w:r>
        <w:rPr>
          <w:rFonts w:ascii="Arial" w:hAnsi="Arial" w:cs="Arial"/>
        </w:rPr>
        <w:t xml:space="preserve"> an NTT Senator as did Pharmacy and the Vet School which made elections difficult.</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rPr>
        <w:t>Section 4:</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rPr>
        <w:t>Apportionment</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rPr>
        <w:t>A.</w:t>
      </w:r>
      <w:r w:rsidRPr="001F2EAE">
        <w:rPr>
          <w:rFonts w:ascii="Calibri" w:hAnsi="Calibri" w:cs="Calibri"/>
        </w:rPr>
        <w:t xml:space="preserve">  </w:t>
      </w:r>
      <w:r w:rsidRPr="001F2EAE">
        <w:rPr>
          <w:rFonts w:ascii="Arial" w:hAnsi="Arial" w:cs="Arial"/>
        </w:rPr>
        <w:t>Constituencies</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rPr>
        <w:t xml:space="preserve">Two faculty members from each college shall represent the </w:t>
      </w:r>
      <w:r w:rsidRPr="001F2EAE">
        <w:rPr>
          <w:rFonts w:ascii="Arial" w:hAnsi="Arial" w:cs="Arial"/>
          <w:strike/>
        </w:rPr>
        <w:t>nine</w:t>
      </w:r>
      <w:r w:rsidRPr="001F2EAE">
        <w:rPr>
          <w:rFonts w:ascii="Arial" w:hAnsi="Arial" w:cs="Arial"/>
        </w:rPr>
        <w:t xml:space="preserve"> </w:t>
      </w:r>
      <w:r w:rsidRPr="001F2EAE">
        <w:rPr>
          <w:rFonts w:ascii="Arial" w:hAnsi="Arial" w:cs="Arial"/>
          <w:color w:val="FB0007"/>
        </w:rPr>
        <w:t>ten</w:t>
      </w:r>
      <w:r w:rsidRPr="001F2EAE">
        <w:rPr>
          <w:rFonts w:ascii="Arial" w:hAnsi="Arial" w:cs="Arial"/>
        </w:rPr>
        <w:t xml:space="preserve"> major constituencies, with two elected from each constituency and one member from regional campus.</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rPr>
        <w:t>The constituencies are defined as: the College of Agriculture Human and Natural Resource Sciences;</w:t>
      </w:r>
      <w:r w:rsidRPr="001F2EAE">
        <w:rPr>
          <w:rFonts w:ascii="Calibri" w:hAnsi="Calibri" w:cs="Calibri"/>
        </w:rPr>
        <w:t xml:space="preserve"> </w:t>
      </w:r>
      <w:r w:rsidRPr="001F2EAE">
        <w:rPr>
          <w:rFonts w:ascii="Arial" w:hAnsi="Arial" w:cs="Arial"/>
        </w:rPr>
        <w:t>the College of Engineering and Architecture;</w:t>
      </w:r>
      <w:r w:rsidRPr="001F2EAE">
        <w:t xml:space="preserve"> </w:t>
      </w:r>
      <w:r w:rsidRPr="001F2EAE">
        <w:rPr>
          <w:rFonts w:ascii="Arial" w:hAnsi="Arial" w:cs="Arial"/>
        </w:rPr>
        <w:t>the College of Veterinary Medicine; the College of Business;</w:t>
      </w:r>
      <w:r w:rsidRPr="001F2EAE">
        <w:rPr>
          <w:rFonts w:ascii="Calibri" w:hAnsi="Calibri" w:cs="Calibri"/>
        </w:rPr>
        <w:t xml:space="preserve"> </w:t>
      </w:r>
      <w:r w:rsidRPr="001F2EAE">
        <w:rPr>
          <w:rFonts w:ascii="Arial" w:hAnsi="Arial" w:cs="Arial"/>
        </w:rPr>
        <w:t>the College of Education;</w:t>
      </w:r>
      <w:r w:rsidRPr="001F2EAE">
        <w:rPr>
          <w:rFonts w:ascii="Calibri" w:hAnsi="Calibri" w:cs="Calibri"/>
        </w:rPr>
        <w:t xml:space="preserve"> </w:t>
      </w:r>
      <w:r w:rsidRPr="001F2EAE">
        <w:rPr>
          <w:rFonts w:ascii="Arial" w:hAnsi="Arial" w:cs="Arial"/>
        </w:rPr>
        <w:t>the College of Pharmacy;</w:t>
      </w:r>
      <w:r w:rsidRPr="001F2EAE">
        <w:t xml:space="preserve"> </w:t>
      </w:r>
      <w:r w:rsidRPr="001F2EAE">
        <w:rPr>
          <w:rFonts w:ascii="Arial" w:hAnsi="Arial" w:cs="Arial"/>
        </w:rPr>
        <w:t>the College of Arts and Sciences;</w:t>
      </w:r>
      <w:r w:rsidRPr="001F2EAE">
        <w:t xml:space="preserve"> </w:t>
      </w:r>
      <w:r w:rsidRPr="001F2EAE">
        <w:rPr>
          <w:rFonts w:ascii="Arial" w:hAnsi="Arial" w:cs="Arial"/>
        </w:rPr>
        <w:t>the College of Nursing;</w:t>
      </w:r>
      <w:r w:rsidRPr="001F2EAE">
        <w:t xml:space="preserve"> </w:t>
      </w:r>
      <w:r w:rsidRPr="001F2EAE">
        <w:rPr>
          <w:rFonts w:ascii="Arial" w:hAnsi="Arial" w:cs="Arial"/>
        </w:rPr>
        <w:t>the College of Communication</w:t>
      </w:r>
      <w:r w:rsidRPr="001F2EAE">
        <w:rPr>
          <w:rFonts w:ascii="Calibri" w:hAnsi="Calibri" w:cs="Calibri"/>
        </w:rPr>
        <w:t xml:space="preserve">; </w:t>
      </w:r>
      <w:r w:rsidRPr="001F2EAE">
        <w:rPr>
          <w:rFonts w:ascii="Arial" w:hAnsi="Arial" w:cs="Arial"/>
          <w:color w:val="FB0007"/>
        </w:rPr>
        <w:t xml:space="preserve">the College of Medicine </w:t>
      </w:r>
      <w:r w:rsidRPr="001F2EAE">
        <w:rPr>
          <w:rFonts w:ascii="Arial" w:hAnsi="Arial" w:cs="Arial"/>
        </w:rPr>
        <w:t>and the faculty of the Library. </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rPr>
        <w:t>The faculty of the regional campuses will be represented by one faculty member. Senate seats dedicated to faculty shall be allocated proportionally among these constituencies on the basis of the number of permanent full-time equivalent (FTE) faculty positions within these constituencies greater than 25. </w:t>
      </w:r>
    </w:p>
    <w:p w:rsidR="009E64D3" w:rsidRPr="001F2EAE" w:rsidRDefault="009E64D3" w:rsidP="009E64D3">
      <w:pPr>
        <w:widowControl w:val="0"/>
        <w:autoSpaceDE w:val="0"/>
        <w:autoSpaceDN w:val="0"/>
        <w:adjustRightInd w:val="0"/>
        <w:spacing w:after="280"/>
        <w:rPr>
          <w:rFonts w:ascii="Calibri" w:hAnsi="Calibri" w:cs="Calibri"/>
        </w:rPr>
      </w:pPr>
      <w:r w:rsidRPr="001F2EAE">
        <w:rPr>
          <w:rFonts w:ascii="Arial" w:hAnsi="Arial" w:cs="Arial"/>
          <w:strike/>
        </w:rPr>
        <w:t>Eight</w:t>
      </w:r>
      <w:r w:rsidRPr="001F2EAE">
        <w:rPr>
          <w:rFonts w:ascii="Arial" w:hAnsi="Arial" w:cs="Arial"/>
        </w:rPr>
        <w:t xml:space="preserve"> </w:t>
      </w:r>
      <w:r w:rsidRPr="001F2EAE">
        <w:rPr>
          <w:rFonts w:ascii="Arial" w:hAnsi="Arial" w:cs="Arial"/>
          <w:color w:val="FB0007"/>
        </w:rPr>
        <w:t>Eleven</w:t>
      </w:r>
      <w:r>
        <w:rPr>
          <w:rFonts w:ascii="Arial" w:hAnsi="Arial" w:cs="Arial"/>
          <w:color w:val="FB0007"/>
        </w:rPr>
        <w:t xml:space="preserve"> </w:t>
      </w:r>
      <w:r w:rsidRPr="001F2EAE">
        <w:rPr>
          <w:rFonts w:ascii="Arial" w:hAnsi="Arial" w:cs="Arial"/>
        </w:rPr>
        <w:t xml:space="preserve">of the faculty members of the Senate shall represent temporary faculty in </w:t>
      </w:r>
      <w:r w:rsidRPr="001F2EAE">
        <w:rPr>
          <w:rFonts w:ascii="Arial" w:hAnsi="Arial" w:cs="Arial"/>
          <w:color w:val="FB0007"/>
        </w:rPr>
        <w:t>each college</w:t>
      </w:r>
      <w:r w:rsidRPr="001F2EAE">
        <w:rPr>
          <w:rFonts w:ascii="Arial" w:hAnsi="Arial" w:cs="Arial"/>
        </w:rPr>
        <w:t xml:space="preserve"> </w:t>
      </w:r>
      <w:r w:rsidRPr="001F2EAE">
        <w:rPr>
          <w:rFonts w:ascii="Arial" w:hAnsi="Arial" w:cs="Arial"/>
          <w:strike/>
        </w:rPr>
        <w:t>eight</w:t>
      </w:r>
      <w:r w:rsidRPr="001F2EAE">
        <w:rPr>
          <w:rFonts w:ascii="Arial" w:hAnsi="Arial" w:cs="Arial"/>
        </w:rPr>
        <w:t xml:space="preserve"> </w:t>
      </w:r>
      <w:r w:rsidRPr="001F2EAE">
        <w:rPr>
          <w:rFonts w:ascii="Arial" w:hAnsi="Arial" w:cs="Arial"/>
          <w:strike/>
        </w:rPr>
        <w:t xml:space="preserve">designated constituencies </w:t>
      </w:r>
      <w:r w:rsidRPr="001F2EAE">
        <w:rPr>
          <w:rFonts w:ascii="Arial" w:hAnsi="Arial" w:cs="Arial"/>
        </w:rPr>
        <w:t>defined as</w:t>
      </w:r>
      <w:r w:rsidRPr="001F2EAE">
        <w:rPr>
          <w:rFonts w:ascii="Calibri" w:hAnsi="Calibri" w:cs="Calibri"/>
        </w:rPr>
        <w:t xml:space="preserve"> </w:t>
      </w:r>
      <w:r w:rsidRPr="001F2EAE">
        <w:rPr>
          <w:rFonts w:ascii="Arial" w:hAnsi="Arial" w:cs="Arial"/>
        </w:rPr>
        <w:t xml:space="preserve">the College of Arts and </w:t>
      </w:r>
      <w:proofErr w:type="gramStart"/>
      <w:r w:rsidRPr="001F2EAE">
        <w:rPr>
          <w:rFonts w:ascii="Arial" w:hAnsi="Arial" w:cs="Arial"/>
        </w:rPr>
        <w:t>Sciences(</w:t>
      </w:r>
      <w:proofErr w:type="gramEnd"/>
      <w:r w:rsidRPr="001F2EAE">
        <w:rPr>
          <w:rFonts w:ascii="Arial" w:hAnsi="Arial" w:cs="Arial"/>
        </w:rPr>
        <w:t>3);</w:t>
      </w:r>
      <w:r w:rsidRPr="001F2EAE">
        <w:rPr>
          <w:rFonts w:ascii="Calibri" w:hAnsi="Calibri" w:cs="Calibri"/>
        </w:rPr>
        <w:t xml:space="preserve"> </w:t>
      </w:r>
      <w:r w:rsidRPr="001F2EAE">
        <w:rPr>
          <w:rFonts w:ascii="Arial" w:hAnsi="Arial" w:cs="Arial"/>
        </w:rPr>
        <w:t>College of Engineering &amp; Architecture;</w:t>
      </w:r>
      <w:r w:rsidRPr="001F2EAE">
        <w:rPr>
          <w:rFonts w:ascii="Calibri" w:hAnsi="Calibri" w:cs="Calibri"/>
        </w:rPr>
        <w:t xml:space="preserve"> </w:t>
      </w:r>
      <w:r w:rsidRPr="001F2EAE">
        <w:rPr>
          <w:rFonts w:ascii="Arial" w:hAnsi="Arial" w:cs="Arial"/>
        </w:rPr>
        <w:t>College of Nursing;</w:t>
      </w:r>
      <w:r w:rsidRPr="001F2EAE">
        <w:rPr>
          <w:rFonts w:ascii="Calibri" w:hAnsi="Calibri" w:cs="Calibri"/>
        </w:rPr>
        <w:t xml:space="preserve"> </w:t>
      </w:r>
      <w:r w:rsidRPr="001F2EAE">
        <w:rPr>
          <w:rFonts w:ascii="Arial" w:hAnsi="Arial" w:cs="Arial"/>
        </w:rPr>
        <w:t>College of Agriculture, Human and Natural Resource Sciences; College of Veterinary Medicine</w:t>
      </w:r>
      <w:r w:rsidRPr="001F2EAE">
        <w:rPr>
          <w:rFonts w:ascii="Calibri" w:hAnsi="Calibri" w:cs="Calibri"/>
        </w:rPr>
        <w:t xml:space="preserve">; </w:t>
      </w:r>
      <w:r w:rsidR="006B7517">
        <w:rPr>
          <w:rFonts w:ascii="Arial" w:hAnsi="Arial" w:cs="Arial"/>
          <w:color w:val="FB0007"/>
        </w:rPr>
        <w:t>College of P</w:t>
      </w:r>
      <w:r w:rsidRPr="001F2EAE">
        <w:rPr>
          <w:rFonts w:ascii="Arial" w:hAnsi="Arial" w:cs="Arial"/>
          <w:color w:val="FB0007"/>
        </w:rPr>
        <w:t>harmacy</w:t>
      </w:r>
      <w:r w:rsidRPr="001F2EAE">
        <w:rPr>
          <w:rFonts w:ascii="Arial" w:hAnsi="Arial" w:cs="Arial"/>
        </w:rPr>
        <w:t xml:space="preserve">; College of Business; </w:t>
      </w:r>
      <w:r w:rsidRPr="001F2EAE">
        <w:rPr>
          <w:rFonts w:ascii="Arial" w:hAnsi="Arial" w:cs="Arial"/>
          <w:color w:val="FF0000"/>
        </w:rPr>
        <w:t xml:space="preserve">College of </w:t>
      </w:r>
      <w:r w:rsidRPr="001F2EAE">
        <w:rPr>
          <w:color w:val="FF0000"/>
        </w:rPr>
        <w:t xml:space="preserve"> </w:t>
      </w:r>
      <w:r w:rsidRPr="001F2EAE">
        <w:rPr>
          <w:rFonts w:ascii="Arial" w:hAnsi="Arial" w:cs="Arial"/>
          <w:color w:val="FF0000"/>
        </w:rPr>
        <w:t>Education</w:t>
      </w:r>
      <w:r w:rsidRPr="001F2EAE">
        <w:rPr>
          <w:rFonts w:ascii="Arial" w:hAnsi="Arial" w:cs="Arial"/>
          <w:color w:val="FB0007"/>
        </w:rPr>
        <w:t>: and the College of Medicine</w:t>
      </w:r>
      <w:r>
        <w:rPr>
          <w:rFonts w:ascii="Calibri" w:hAnsi="Calibri" w:cs="Calibri"/>
        </w:rPr>
        <w:t>.</w:t>
      </w:r>
      <w:r w:rsidRPr="001F2EAE">
        <w:rPr>
          <w:rFonts w:ascii="Arial" w:hAnsi="Arial" w:cs="Arial"/>
        </w:rPr>
        <w:t> </w:t>
      </w:r>
    </w:p>
    <w:p w:rsidR="008E453F" w:rsidRPr="00510861" w:rsidRDefault="009E64D3" w:rsidP="009E64D3">
      <w:pPr>
        <w:widowControl w:val="0"/>
        <w:autoSpaceDE w:val="0"/>
        <w:autoSpaceDN w:val="0"/>
        <w:adjustRightInd w:val="0"/>
        <w:spacing w:after="280"/>
        <w:rPr>
          <w:rFonts w:ascii="ITC Stone Serif Std Medium" w:eastAsia="Meiryo" w:hAnsi="ITC Stone Serif Std Medium"/>
          <w:sz w:val="19"/>
          <w:szCs w:val="19"/>
        </w:rPr>
      </w:pPr>
      <w:r w:rsidRPr="001F2EAE">
        <w:rPr>
          <w:rFonts w:ascii="Arial" w:hAnsi="Arial" w:cs="Arial"/>
        </w:rPr>
        <w:t>One seat in the Faculty Senate is designated for representation by the President of the Graduate and Professional Student Association.</w:t>
      </w:r>
    </w:p>
    <w:sectPr w:rsidR="008E453F" w:rsidRPr="00510861" w:rsidSect="0012100A">
      <w:headerReference w:type="first" r:id="rId8"/>
      <w:footerReference w:type="first" r:id="rId9"/>
      <w:pgSz w:w="12240" w:h="15840" w:code="1"/>
      <w:pgMar w:top="2880" w:right="907" w:bottom="1440" w:left="1944" w:header="0" w:footer="79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96" w:rsidRDefault="002C6596">
      <w:r>
        <w:separator/>
      </w:r>
    </w:p>
  </w:endnote>
  <w:endnote w:type="continuationSeparator" w:id="0">
    <w:p w:rsidR="002C6596" w:rsidRDefault="002C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Stone Serif Std Medium">
    <w:altName w:val="Lucida Bright"/>
    <w:charset w:val="00"/>
    <w:family w:val="auto"/>
    <w:pitch w:val="variable"/>
    <w:sig w:usb0="00000003" w:usb1="4000204A"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A2" w:rsidRDefault="009E64D3" w:rsidP="00917A01">
    <w:pPr>
      <w:pStyle w:val="Header"/>
    </w:pPr>
    <w:r>
      <w:rPr>
        <w:noProof/>
      </w:rPr>
      <w:drawing>
        <wp:anchor distT="0" distB="0" distL="114300" distR="114300" simplePos="0" relativeHeight="251658240" behindDoc="1" locked="0" layoutInCell="1" allowOverlap="1">
          <wp:simplePos x="0" y="0"/>
          <wp:positionH relativeFrom="column">
            <wp:posOffset>-1234440</wp:posOffset>
          </wp:positionH>
          <wp:positionV relativeFrom="paragraph">
            <wp:posOffset>-157480</wp:posOffset>
          </wp:positionV>
          <wp:extent cx="7781925" cy="657860"/>
          <wp:effectExtent l="0" t="0" r="0" b="0"/>
          <wp:wrapThrough wrapText="bothSides">
            <wp:wrapPolygon edited="0">
              <wp:start x="9200" y="0"/>
              <wp:lineTo x="9200" y="8131"/>
              <wp:lineTo x="9518" y="9382"/>
              <wp:lineTo x="11051" y="10633"/>
              <wp:lineTo x="17132" y="10633"/>
              <wp:lineTo x="19194" y="8757"/>
              <wp:lineTo x="19088" y="6255"/>
              <wp:lineTo x="14700" y="0"/>
              <wp:lineTo x="9200" y="0"/>
            </wp:wrapPolygon>
          </wp:wrapThrough>
          <wp:docPr id="529" name="Picture 529" descr="LH 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LH bottom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96" w:rsidRDefault="002C6596">
      <w:r>
        <w:separator/>
      </w:r>
    </w:p>
  </w:footnote>
  <w:footnote w:type="continuationSeparator" w:id="0">
    <w:p w:rsidR="002C6596" w:rsidRDefault="002C6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DA2" w:rsidRDefault="009E64D3">
    <w:pPr>
      <w:pStyle w:val="Header"/>
    </w:pPr>
    <w:r>
      <w:rPr>
        <w:noProof/>
      </w:rPr>
      <w:drawing>
        <wp:anchor distT="0" distB="0" distL="114300" distR="114300" simplePos="0" relativeHeight="251657216" behindDoc="1" locked="0" layoutInCell="1" allowOverlap="1">
          <wp:simplePos x="0" y="0"/>
          <wp:positionH relativeFrom="column">
            <wp:posOffset>-1234440</wp:posOffset>
          </wp:positionH>
          <wp:positionV relativeFrom="paragraph">
            <wp:posOffset>198120</wp:posOffset>
          </wp:positionV>
          <wp:extent cx="7768590" cy="1602740"/>
          <wp:effectExtent l="0" t="0" r="0" b="0"/>
          <wp:wrapThrough wrapText="bothSides">
            <wp:wrapPolygon edited="0">
              <wp:start x="8422" y="5648"/>
              <wp:lineTo x="2172" y="6932"/>
              <wp:lineTo x="2119" y="9499"/>
              <wp:lineTo x="3019" y="10269"/>
              <wp:lineTo x="3019" y="12067"/>
              <wp:lineTo x="3178" y="14377"/>
              <wp:lineTo x="3337" y="14634"/>
              <wp:lineTo x="8051" y="16431"/>
              <wp:lineTo x="8422" y="16945"/>
              <wp:lineTo x="8687" y="16945"/>
              <wp:lineTo x="8687" y="14377"/>
              <wp:lineTo x="9640" y="14377"/>
              <wp:lineTo x="12235" y="11296"/>
              <wp:lineTo x="12235" y="8986"/>
              <wp:lineTo x="10435" y="6932"/>
              <wp:lineTo x="8634" y="5648"/>
              <wp:lineTo x="8422" y="5648"/>
            </wp:wrapPolygon>
          </wp:wrapThrough>
          <wp:docPr id="528" name="Picture 528" descr="LH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LH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1C2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B4C48B2"/>
    <w:lvl w:ilvl="0">
      <w:start w:val="1"/>
      <w:numFmt w:val="decimal"/>
      <w:lvlText w:val="%1."/>
      <w:lvlJc w:val="left"/>
      <w:pPr>
        <w:tabs>
          <w:tab w:val="num" w:pos="1800"/>
        </w:tabs>
        <w:ind w:left="1800" w:hanging="360"/>
      </w:pPr>
    </w:lvl>
  </w:abstractNum>
  <w:abstractNum w:abstractNumId="2">
    <w:nsid w:val="FFFFFF7D"/>
    <w:multiLevelType w:val="singleLevel"/>
    <w:tmpl w:val="6874A2AC"/>
    <w:lvl w:ilvl="0">
      <w:start w:val="1"/>
      <w:numFmt w:val="decimal"/>
      <w:lvlText w:val="%1."/>
      <w:lvlJc w:val="left"/>
      <w:pPr>
        <w:tabs>
          <w:tab w:val="num" w:pos="1440"/>
        </w:tabs>
        <w:ind w:left="1440" w:hanging="360"/>
      </w:pPr>
    </w:lvl>
  </w:abstractNum>
  <w:abstractNum w:abstractNumId="3">
    <w:nsid w:val="FFFFFF7E"/>
    <w:multiLevelType w:val="singleLevel"/>
    <w:tmpl w:val="35FA140C"/>
    <w:lvl w:ilvl="0">
      <w:start w:val="1"/>
      <w:numFmt w:val="decimal"/>
      <w:lvlText w:val="%1."/>
      <w:lvlJc w:val="left"/>
      <w:pPr>
        <w:tabs>
          <w:tab w:val="num" w:pos="1080"/>
        </w:tabs>
        <w:ind w:left="1080" w:hanging="360"/>
      </w:pPr>
    </w:lvl>
  </w:abstractNum>
  <w:abstractNum w:abstractNumId="4">
    <w:nsid w:val="FFFFFF7F"/>
    <w:multiLevelType w:val="singleLevel"/>
    <w:tmpl w:val="CAB88978"/>
    <w:lvl w:ilvl="0">
      <w:start w:val="1"/>
      <w:numFmt w:val="decimal"/>
      <w:lvlText w:val="%1."/>
      <w:lvlJc w:val="left"/>
      <w:pPr>
        <w:tabs>
          <w:tab w:val="num" w:pos="720"/>
        </w:tabs>
        <w:ind w:left="720" w:hanging="360"/>
      </w:pPr>
    </w:lvl>
  </w:abstractNum>
  <w:abstractNum w:abstractNumId="5">
    <w:nsid w:val="FFFFFF80"/>
    <w:multiLevelType w:val="singleLevel"/>
    <w:tmpl w:val="E33C38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2D49F4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DA6938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1C46D8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62C76C4"/>
    <w:lvl w:ilvl="0">
      <w:start w:val="1"/>
      <w:numFmt w:val="decimal"/>
      <w:lvlText w:val="%1."/>
      <w:lvlJc w:val="left"/>
      <w:pPr>
        <w:tabs>
          <w:tab w:val="num" w:pos="360"/>
        </w:tabs>
        <w:ind w:left="360" w:hanging="360"/>
      </w:pPr>
    </w:lvl>
  </w:abstractNum>
  <w:abstractNum w:abstractNumId="1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Type w:val="letter"/>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C4"/>
    <w:rsid w:val="00017FAF"/>
    <w:rsid w:val="00023DCA"/>
    <w:rsid w:val="00042790"/>
    <w:rsid w:val="0005395D"/>
    <w:rsid w:val="00080F34"/>
    <w:rsid w:val="000875C5"/>
    <w:rsid w:val="00091BA6"/>
    <w:rsid w:val="00092C96"/>
    <w:rsid w:val="000A173B"/>
    <w:rsid w:val="000A4D81"/>
    <w:rsid w:val="000A7FE9"/>
    <w:rsid w:val="000C4C56"/>
    <w:rsid w:val="001070E4"/>
    <w:rsid w:val="0012100A"/>
    <w:rsid w:val="00122170"/>
    <w:rsid w:val="00124F93"/>
    <w:rsid w:val="0013681E"/>
    <w:rsid w:val="00143646"/>
    <w:rsid w:val="00152DC5"/>
    <w:rsid w:val="00157506"/>
    <w:rsid w:val="00157D82"/>
    <w:rsid w:val="001A1D2D"/>
    <w:rsid w:val="001D5ECD"/>
    <w:rsid w:val="001E5CCD"/>
    <w:rsid w:val="001F4831"/>
    <w:rsid w:val="002031C4"/>
    <w:rsid w:val="002054E3"/>
    <w:rsid w:val="00233FF2"/>
    <w:rsid w:val="00242760"/>
    <w:rsid w:val="002709C3"/>
    <w:rsid w:val="0028646C"/>
    <w:rsid w:val="002A3303"/>
    <w:rsid w:val="002C2187"/>
    <w:rsid w:val="002C63FC"/>
    <w:rsid w:val="002C6596"/>
    <w:rsid w:val="002D07CE"/>
    <w:rsid w:val="002E738A"/>
    <w:rsid w:val="002F774A"/>
    <w:rsid w:val="00301A09"/>
    <w:rsid w:val="00302AC0"/>
    <w:rsid w:val="00311BB2"/>
    <w:rsid w:val="00367FB3"/>
    <w:rsid w:val="0037314F"/>
    <w:rsid w:val="003A6BE3"/>
    <w:rsid w:val="003B0668"/>
    <w:rsid w:val="003B08B7"/>
    <w:rsid w:val="003C31D4"/>
    <w:rsid w:val="003D368E"/>
    <w:rsid w:val="003E4563"/>
    <w:rsid w:val="00402572"/>
    <w:rsid w:val="00403112"/>
    <w:rsid w:val="004160BF"/>
    <w:rsid w:val="00465FCC"/>
    <w:rsid w:val="004679BA"/>
    <w:rsid w:val="00467EFB"/>
    <w:rsid w:val="0048734F"/>
    <w:rsid w:val="00494F7F"/>
    <w:rsid w:val="004B7276"/>
    <w:rsid w:val="004C2646"/>
    <w:rsid w:val="004C669A"/>
    <w:rsid w:val="004F617D"/>
    <w:rsid w:val="0050710D"/>
    <w:rsid w:val="00510861"/>
    <w:rsid w:val="005669E0"/>
    <w:rsid w:val="00582AB6"/>
    <w:rsid w:val="005A084F"/>
    <w:rsid w:val="005A23CD"/>
    <w:rsid w:val="005B12E9"/>
    <w:rsid w:val="005C7E83"/>
    <w:rsid w:val="005F6FEC"/>
    <w:rsid w:val="006133B2"/>
    <w:rsid w:val="00615A17"/>
    <w:rsid w:val="00644500"/>
    <w:rsid w:val="00651716"/>
    <w:rsid w:val="00655CBD"/>
    <w:rsid w:val="00663F94"/>
    <w:rsid w:val="00681DA2"/>
    <w:rsid w:val="00682709"/>
    <w:rsid w:val="0068634D"/>
    <w:rsid w:val="006A0113"/>
    <w:rsid w:val="006A3654"/>
    <w:rsid w:val="006A6309"/>
    <w:rsid w:val="006A7070"/>
    <w:rsid w:val="006B7517"/>
    <w:rsid w:val="006C4F2E"/>
    <w:rsid w:val="006C6D47"/>
    <w:rsid w:val="006E667D"/>
    <w:rsid w:val="0071120B"/>
    <w:rsid w:val="00723268"/>
    <w:rsid w:val="00730C82"/>
    <w:rsid w:val="00736A60"/>
    <w:rsid w:val="00737A8E"/>
    <w:rsid w:val="0077398C"/>
    <w:rsid w:val="00786C1C"/>
    <w:rsid w:val="00795EFA"/>
    <w:rsid w:val="007A6B79"/>
    <w:rsid w:val="007D4E35"/>
    <w:rsid w:val="007E6945"/>
    <w:rsid w:val="007E6D0A"/>
    <w:rsid w:val="00803156"/>
    <w:rsid w:val="00815814"/>
    <w:rsid w:val="008177AE"/>
    <w:rsid w:val="00820A73"/>
    <w:rsid w:val="008228CE"/>
    <w:rsid w:val="00827937"/>
    <w:rsid w:val="0083105F"/>
    <w:rsid w:val="00847B95"/>
    <w:rsid w:val="00870F3F"/>
    <w:rsid w:val="00874673"/>
    <w:rsid w:val="00874A0A"/>
    <w:rsid w:val="00874C93"/>
    <w:rsid w:val="0089740F"/>
    <w:rsid w:val="008A1C8C"/>
    <w:rsid w:val="008B0A6E"/>
    <w:rsid w:val="008C4176"/>
    <w:rsid w:val="008C605D"/>
    <w:rsid w:val="008D0427"/>
    <w:rsid w:val="008D646B"/>
    <w:rsid w:val="008E453F"/>
    <w:rsid w:val="008F3682"/>
    <w:rsid w:val="009128C8"/>
    <w:rsid w:val="00912E07"/>
    <w:rsid w:val="00917A01"/>
    <w:rsid w:val="009238FB"/>
    <w:rsid w:val="009239C0"/>
    <w:rsid w:val="00933488"/>
    <w:rsid w:val="00945FBF"/>
    <w:rsid w:val="009777C8"/>
    <w:rsid w:val="009865DA"/>
    <w:rsid w:val="009B0D75"/>
    <w:rsid w:val="009E091B"/>
    <w:rsid w:val="009E64D3"/>
    <w:rsid w:val="009F5543"/>
    <w:rsid w:val="00A04F95"/>
    <w:rsid w:val="00A23BF3"/>
    <w:rsid w:val="00A27830"/>
    <w:rsid w:val="00A53E08"/>
    <w:rsid w:val="00A97A5B"/>
    <w:rsid w:val="00AA2B77"/>
    <w:rsid w:val="00AB7E0E"/>
    <w:rsid w:val="00AC701F"/>
    <w:rsid w:val="00AC76AE"/>
    <w:rsid w:val="00AD221B"/>
    <w:rsid w:val="00AE1FFF"/>
    <w:rsid w:val="00AF205D"/>
    <w:rsid w:val="00AF5616"/>
    <w:rsid w:val="00B05CC4"/>
    <w:rsid w:val="00B072B4"/>
    <w:rsid w:val="00B46811"/>
    <w:rsid w:val="00B4695B"/>
    <w:rsid w:val="00B518C4"/>
    <w:rsid w:val="00B65080"/>
    <w:rsid w:val="00B803A6"/>
    <w:rsid w:val="00B9102E"/>
    <w:rsid w:val="00B9689C"/>
    <w:rsid w:val="00BC78C1"/>
    <w:rsid w:val="00BE3B16"/>
    <w:rsid w:val="00BE443D"/>
    <w:rsid w:val="00BE5729"/>
    <w:rsid w:val="00BF214E"/>
    <w:rsid w:val="00C17E2E"/>
    <w:rsid w:val="00C223E0"/>
    <w:rsid w:val="00C30AF5"/>
    <w:rsid w:val="00C45E68"/>
    <w:rsid w:val="00C65CF7"/>
    <w:rsid w:val="00C973A2"/>
    <w:rsid w:val="00CA0B94"/>
    <w:rsid w:val="00CB70E8"/>
    <w:rsid w:val="00CD3157"/>
    <w:rsid w:val="00CD58D5"/>
    <w:rsid w:val="00D123E9"/>
    <w:rsid w:val="00D47DC8"/>
    <w:rsid w:val="00D74AE3"/>
    <w:rsid w:val="00DB60A1"/>
    <w:rsid w:val="00DD221E"/>
    <w:rsid w:val="00DD656E"/>
    <w:rsid w:val="00DE595A"/>
    <w:rsid w:val="00DF3B4C"/>
    <w:rsid w:val="00E016D2"/>
    <w:rsid w:val="00E30474"/>
    <w:rsid w:val="00E47DAC"/>
    <w:rsid w:val="00E56273"/>
    <w:rsid w:val="00E76CC3"/>
    <w:rsid w:val="00E87D30"/>
    <w:rsid w:val="00EA0412"/>
    <w:rsid w:val="00EC43F7"/>
    <w:rsid w:val="00EF69E3"/>
    <w:rsid w:val="00F01E7B"/>
    <w:rsid w:val="00F10642"/>
    <w:rsid w:val="00F14489"/>
    <w:rsid w:val="00F34573"/>
    <w:rsid w:val="00F40101"/>
    <w:rsid w:val="00F561EB"/>
    <w:rsid w:val="00F61042"/>
    <w:rsid w:val="00F639C8"/>
    <w:rsid w:val="00F75CC4"/>
    <w:rsid w:val="00F81710"/>
    <w:rsid w:val="00F85A34"/>
    <w:rsid w:val="00F87A5C"/>
    <w:rsid w:val="00F908F2"/>
    <w:rsid w:val="00F9702E"/>
    <w:rsid w:val="00FD4D35"/>
    <w:rsid w:val="00FE53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Geneva" w:hAnsi="Geneva"/>
    </w:rPr>
  </w:style>
  <w:style w:type="character" w:styleId="Hyperlink">
    <w:name w:val="Hyperlink"/>
    <w:uiPriority w:val="99"/>
    <w:unhideWhenUsed/>
    <w:rsid w:val="00510861"/>
    <w:rPr>
      <w:color w:val="0000FF"/>
      <w:u w:val="single"/>
    </w:rPr>
  </w:style>
  <w:style w:type="character" w:styleId="PageNumber">
    <w:name w:val="page number"/>
    <w:rsid w:val="00F561EB"/>
  </w:style>
  <w:style w:type="paragraph" w:styleId="BalloonText">
    <w:name w:val="Balloon Text"/>
    <w:basedOn w:val="Normal"/>
    <w:link w:val="BalloonTextChar"/>
    <w:rsid w:val="007A6B79"/>
    <w:rPr>
      <w:rFonts w:ascii="Tahoma" w:hAnsi="Tahoma" w:cs="Tahoma"/>
      <w:sz w:val="16"/>
      <w:szCs w:val="16"/>
    </w:rPr>
  </w:style>
  <w:style w:type="character" w:customStyle="1" w:styleId="BalloonTextChar">
    <w:name w:val="Balloon Text Char"/>
    <w:link w:val="BalloonText"/>
    <w:rsid w:val="007A6B79"/>
    <w:rPr>
      <w:rFonts w:ascii="Tahoma" w:hAnsi="Tahoma" w:cs="Tahoma"/>
      <w:sz w:val="16"/>
      <w:szCs w:val="16"/>
    </w:rPr>
  </w:style>
  <w:style w:type="paragraph" w:styleId="Salutation">
    <w:name w:val="Salutation"/>
    <w:basedOn w:val="Normal"/>
    <w:next w:val="Normal"/>
    <w:link w:val="SalutationChar"/>
    <w:rsid w:val="002709C3"/>
  </w:style>
  <w:style w:type="character" w:customStyle="1" w:styleId="SalutationChar">
    <w:name w:val="Salutation Char"/>
    <w:link w:val="Salutation"/>
    <w:rsid w:val="002709C3"/>
    <w:rPr>
      <w:sz w:val="24"/>
    </w:rPr>
  </w:style>
  <w:style w:type="paragraph" w:styleId="Closing">
    <w:name w:val="Closing"/>
    <w:basedOn w:val="Normal"/>
    <w:link w:val="ClosingChar"/>
    <w:rsid w:val="002709C3"/>
    <w:pPr>
      <w:ind w:left="4320"/>
    </w:pPr>
  </w:style>
  <w:style w:type="character" w:customStyle="1" w:styleId="ClosingChar">
    <w:name w:val="Closing Char"/>
    <w:link w:val="Closing"/>
    <w:rsid w:val="002709C3"/>
    <w:rPr>
      <w:sz w:val="24"/>
    </w:rPr>
  </w:style>
  <w:style w:type="paragraph" w:customStyle="1" w:styleId="InsideAddress">
    <w:name w:val="Inside Address"/>
    <w:basedOn w:val="Normal"/>
    <w:rsid w:val="002709C3"/>
  </w:style>
  <w:style w:type="paragraph" w:styleId="Signature">
    <w:name w:val="Signature"/>
    <w:basedOn w:val="Normal"/>
    <w:link w:val="SignatureChar"/>
    <w:rsid w:val="002709C3"/>
    <w:pPr>
      <w:ind w:left="4320"/>
    </w:pPr>
  </w:style>
  <w:style w:type="character" w:customStyle="1" w:styleId="SignatureChar">
    <w:name w:val="Signature Char"/>
    <w:link w:val="Signature"/>
    <w:rsid w:val="002709C3"/>
    <w:rPr>
      <w:sz w:val="24"/>
    </w:rPr>
  </w:style>
  <w:style w:type="paragraph" w:styleId="BodyText">
    <w:name w:val="Body Text"/>
    <w:basedOn w:val="Normal"/>
    <w:link w:val="BodyTextChar"/>
    <w:rsid w:val="002709C3"/>
    <w:pPr>
      <w:spacing w:after="120"/>
    </w:pPr>
  </w:style>
  <w:style w:type="character" w:customStyle="1" w:styleId="BodyTextChar">
    <w:name w:val="Body Text Char"/>
    <w:link w:val="BodyText"/>
    <w:rsid w:val="002709C3"/>
    <w:rPr>
      <w:sz w:val="24"/>
    </w:rPr>
  </w:style>
  <w:style w:type="paragraph" w:customStyle="1" w:styleId="SubjectLine">
    <w:name w:val="Subject Line"/>
    <w:basedOn w:val="Normal"/>
    <w:rsid w:val="002709C3"/>
  </w:style>
  <w:style w:type="paragraph" w:customStyle="1" w:styleId="ReferenceLine">
    <w:name w:val="Reference Line"/>
    <w:basedOn w:val="BodyText"/>
    <w:rsid w:val="00270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Geneva" w:hAnsi="Geneva"/>
    </w:rPr>
  </w:style>
  <w:style w:type="character" w:styleId="Hyperlink">
    <w:name w:val="Hyperlink"/>
    <w:uiPriority w:val="99"/>
    <w:unhideWhenUsed/>
    <w:rsid w:val="00510861"/>
    <w:rPr>
      <w:color w:val="0000FF"/>
      <w:u w:val="single"/>
    </w:rPr>
  </w:style>
  <w:style w:type="character" w:styleId="PageNumber">
    <w:name w:val="page number"/>
    <w:rsid w:val="00F561EB"/>
  </w:style>
  <w:style w:type="paragraph" w:styleId="BalloonText">
    <w:name w:val="Balloon Text"/>
    <w:basedOn w:val="Normal"/>
    <w:link w:val="BalloonTextChar"/>
    <w:rsid w:val="007A6B79"/>
    <w:rPr>
      <w:rFonts w:ascii="Tahoma" w:hAnsi="Tahoma" w:cs="Tahoma"/>
      <w:sz w:val="16"/>
      <w:szCs w:val="16"/>
    </w:rPr>
  </w:style>
  <w:style w:type="character" w:customStyle="1" w:styleId="BalloonTextChar">
    <w:name w:val="Balloon Text Char"/>
    <w:link w:val="BalloonText"/>
    <w:rsid w:val="007A6B79"/>
    <w:rPr>
      <w:rFonts w:ascii="Tahoma" w:hAnsi="Tahoma" w:cs="Tahoma"/>
      <w:sz w:val="16"/>
      <w:szCs w:val="16"/>
    </w:rPr>
  </w:style>
  <w:style w:type="paragraph" w:styleId="Salutation">
    <w:name w:val="Salutation"/>
    <w:basedOn w:val="Normal"/>
    <w:next w:val="Normal"/>
    <w:link w:val="SalutationChar"/>
    <w:rsid w:val="002709C3"/>
  </w:style>
  <w:style w:type="character" w:customStyle="1" w:styleId="SalutationChar">
    <w:name w:val="Salutation Char"/>
    <w:link w:val="Salutation"/>
    <w:rsid w:val="002709C3"/>
    <w:rPr>
      <w:sz w:val="24"/>
    </w:rPr>
  </w:style>
  <w:style w:type="paragraph" w:styleId="Closing">
    <w:name w:val="Closing"/>
    <w:basedOn w:val="Normal"/>
    <w:link w:val="ClosingChar"/>
    <w:rsid w:val="002709C3"/>
    <w:pPr>
      <w:ind w:left="4320"/>
    </w:pPr>
  </w:style>
  <w:style w:type="character" w:customStyle="1" w:styleId="ClosingChar">
    <w:name w:val="Closing Char"/>
    <w:link w:val="Closing"/>
    <w:rsid w:val="002709C3"/>
    <w:rPr>
      <w:sz w:val="24"/>
    </w:rPr>
  </w:style>
  <w:style w:type="paragraph" w:customStyle="1" w:styleId="InsideAddress">
    <w:name w:val="Inside Address"/>
    <w:basedOn w:val="Normal"/>
    <w:rsid w:val="002709C3"/>
  </w:style>
  <w:style w:type="paragraph" w:styleId="Signature">
    <w:name w:val="Signature"/>
    <w:basedOn w:val="Normal"/>
    <w:link w:val="SignatureChar"/>
    <w:rsid w:val="002709C3"/>
    <w:pPr>
      <w:ind w:left="4320"/>
    </w:pPr>
  </w:style>
  <w:style w:type="character" w:customStyle="1" w:styleId="SignatureChar">
    <w:name w:val="Signature Char"/>
    <w:link w:val="Signature"/>
    <w:rsid w:val="002709C3"/>
    <w:rPr>
      <w:sz w:val="24"/>
    </w:rPr>
  </w:style>
  <w:style w:type="paragraph" w:styleId="BodyText">
    <w:name w:val="Body Text"/>
    <w:basedOn w:val="Normal"/>
    <w:link w:val="BodyTextChar"/>
    <w:rsid w:val="002709C3"/>
    <w:pPr>
      <w:spacing w:after="120"/>
    </w:pPr>
  </w:style>
  <w:style w:type="character" w:customStyle="1" w:styleId="BodyTextChar">
    <w:name w:val="Body Text Char"/>
    <w:link w:val="BodyText"/>
    <w:rsid w:val="002709C3"/>
    <w:rPr>
      <w:sz w:val="24"/>
    </w:rPr>
  </w:style>
  <w:style w:type="paragraph" w:customStyle="1" w:styleId="SubjectLine">
    <w:name w:val="Subject Line"/>
    <w:basedOn w:val="Normal"/>
    <w:rsid w:val="002709C3"/>
  </w:style>
  <w:style w:type="paragraph" w:customStyle="1" w:styleId="ReferenceLine">
    <w:name w:val="Reference Line"/>
    <w:basedOn w:val="BodyText"/>
    <w:rsid w:val="0027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A83C62EB70646BAF6BDEC214F12E6" ma:contentTypeVersion="10" ma:contentTypeDescription="Create a new document." ma:contentTypeScope="" ma:versionID="64b5ea16a0d17d1672cc8777c71f016c">
  <xsd:schema xmlns:xsd="http://www.w3.org/2001/XMLSchema" xmlns:xs="http://www.w3.org/2001/XMLSchema" xmlns:p="http://schemas.microsoft.com/office/2006/metadata/properties" xmlns:ns2="85bd3b25-8f92-4b26-8743-4791a65e220f" xmlns:ns3="d8b27996-972b-4d3c-a8e4-768a7f5069b5" targetNamespace="http://schemas.microsoft.com/office/2006/metadata/properties" ma:root="true" ma:fieldsID="c05e2cf6daf077cf835d60963c30e873" ns2:_="" ns3:_="">
    <xsd:import namespace="85bd3b25-8f92-4b26-8743-4791a65e220f"/>
    <xsd:import namespace="d8b27996-972b-4d3c-a8e4-768a7f506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3b25-8f92-4b26-8743-4791a65e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27996-972b-4d3c-a8e4-768a7f5069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b5b617-a9ed-48d9-88c2-115e72a28a01}" ma:internalName="TaxCatchAll" ma:showField="CatchAllData" ma:web="d8b27996-972b-4d3c-a8e4-768a7f506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b27996-972b-4d3c-a8e4-768a7f5069b5" xsi:nil="true"/>
    <lcf76f155ced4ddcb4097134ff3c332f xmlns="85bd3b25-8f92-4b26-8743-4791a65e22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6BE6D4-83E0-4848-BA3D-472EC995CF66}"/>
</file>

<file path=customXml/itemProps2.xml><?xml version="1.0" encoding="utf-8"?>
<ds:datastoreItem xmlns:ds="http://schemas.openxmlformats.org/officeDocument/2006/customXml" ds:itemID="{97C5A18F-D43B-46E3-80D1-641FEB808E3B}"/>
</file>

<file path=customXml/itemProps3.xml><?xml version="1.0" encoding="utf-8"?>
<ds:datastoreItem xmlns:ds="http://schemas.openxmlformats.org/officeDocument/2006/customXml" ds:itemID="{63CB86E4-5830-41B1-8B2E-78901E112833}"/>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Washington State University-OUPP</Company>
  <LinksUpToDate>false</LinksUpToDate>
  <CharactersWithSpaces>1873</CharactersWithSpaces>
  <SharedDoc>false</SharedDoc>
  <HLinks>
    <vt:vector size="18" baseType="variant">
      <vt:variant>
        <vt:i4>7143517</vt:i4>
      </vt:variant>
      <vt:variant>
        <vt:i4>0</vt:i4>
      </vt:variant>
      <vt:variant>
        <vt:i4>0</vt:i4>
      </vt:variant>
      <vt:variant>
        <vt:i4>5</vt:i4>
      </vt:variant>
      <vt:variant>
        <vt:lpwstr>http://publishing.wsu.edu/onlineorders.html</vt:lpwstr>
      </vt:variant>
      <vt:variant>
        <vt:lpwstr/>
      </vt:variant>
      <vt:variant>
        <vt:i4>7077923</vt:i4>
      </vt:variant>
      <vt:variant>
        <vt:i4>-1</vt:i4>
      </vt:variant>
      <vt:variant>
        <vt:i4>2576</vt:i4>
      </vt:variant>
      <vt:variant>
        <vt:i4>1</vt:i4>
      </vt:variant>
      <vt:variant>
        <vt:lpwstr>LH top</vt:lpwstr>
      </vt:variant>
      <vt:variant>
        <vt:lpwstr/>
      </vt:variant>
      <vt:variant>
        <vt:i4>2293818</vt:i4>
      </vt:variant>
      <vt:variant>
        <vt:i4>-1</vt:i4>
      </vt:variant>
      <vt:variant>
        <vt:i4>2577</vt:i4>
      </vt:variant>
      <vt:variant>
        <vt:i4>1</vt:i4>
      </vt:variant>
      <vt:variant>
        <vt:lpwstr>LH bottom2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Hoyt</dc:creator>
  <cp:lastModifiedBy>Anderson, Gayle M</cp:lastModifiedBy>
  <cp:revision>4</cp:revision>
  <cp:lastPrinted>2012-01-03T22:40:00Z</cp:lastPrinted>
  <dcterms:created xsi:type="dcterms:W3CDTF">2015-11-10T20:06:00Z</dcterms:created>
  <dcterms:modified xsi:type="dcterms:W3CDTF">2015-11-13T17:10:00Z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0x0101001F5A83C62EB70646BAF6BDEC214F12E6</vt:lpwstr>
  </property>
  <property fmtid="{D5CDD505-2E9C-101B-9397-08002B2CF9AE}" pid="3" name="Order">
    <vt:r8>208200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TriggerFlowInfo">
    <vt:lpwstr/>
  </property>
</Properties>
</file>