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CellSpacing w:w="15" w:type="dxa"/>
        <w:tblInd w:w="-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31"/>
        <w:gridCol w:w="944"/>
        <w:gridCol w:w="757"/>
        <w:gridCol w:w="3538"/>
        <w:gridCol w:w="3538"/>
        <w:gridCol w:w="1012"/>
      </w:tblGrid>
      <w:tr w:rsidR="00525FB1" w:rsidTr="00CB10AF">
        <w:trPr>
          <w:tblCellSpacing w:w="15" w:type="dxa"/>
        </w:trPr>
        <w:tc>
          <w:tcPr>
            <w:tcW w:w="11460" w:type="dxa"/>
            <w:gridSpan w:val="6"/>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525FB1" w:rsidRDefault="00525FB1" w:rsidP="00094C39">
            <w:pPr>
              <w:pStyle w:val="BodyText"/>
              <w:jc w:val="center"/>
            </w:pPr>
          </w:p>
          <w:p w:rsidR="00525FB1" w:rsidRDefault="00525FB1" w:rsidP="00094C39">
            <w:pPr>
              <w:pStyle w:val="BodyText"/>
              <w:jc w:val="center"/>
            </w:pPr>
            <w:r>
              <w:t>GRAD</w:t>
            </w:r>
            <w:r w:rsidR="00827A37">
              <w:t xml:space="preserve">UATE MAJOR CHANGE BULLETIN NO. </w:t>
            </w:r>
            <w:r w:rsidR="00B72EB0">
              <w:t>3</w:t>
            </w:r>
          </w:p>
          <w:p w:rsidR="00145BC6" w:rsidRDefault="00F37C91" w:rsidP="008C3A40">
            <w:pPr>
              <w:pStyle w:val="BodyText"/>
              <w:jc w:val="center"/>
            </w:pPr>
            <w:r>
              <w:t>Spring</w:t>
            </w:r>
            <w:r w:rsidR="005B3B7D">
              <w:t xml:space="preserve"> 2012</w:t>
            </w:r>
          </w:p>
          <w:p w:rsidR="00525FB1" w:rsidRDefault="00525FB1" w:rsidP="005B3B7D">
            <w:pPr>
              <w:rPr>
                <w:b/>
                <w:bCs/>
              </w:rPr>
            </w:pPr>
          </w:p>
          <w:p w:rsidR="00525FB1" w:rsidRDefault="00525FB1" w:rsidP="00A35288">
            <w:r>
              <w:t>The courses listed below reflect the graduate major curricular changes approved by the Catalog Subcommittee and the Graduate Studies Committee since approval of the last Graduate Major Change Bulletin.  All new and revised courses are printed in their entirety under the headings Proposed and Current, respectively.  The column to the far right indicates the date each change becomes effective.</w:t>
            </w:r>
          </w:p>
        </w:tc>
      </w:tr>
      <w:tr w:rsidR="005074DE" w:rsidTr="00E80430">
        <w:tblPrEx>
          <w:tblCellMar>
            <w:top w:w="15" w:type="dxa"/>
            <w:left w:w="15" w:type="dxa"/>
            <w:bottom w:w="15" w:type="dxa"/>
            <w:right w:w="15" w:type="dxa"/>
          </w:tblCellMar>
          <w:tblLook w:val="04A0" w:firstRow="1" w:lastRow="0" w:firstColumn="1" w:lastColumn="0" w:noHBand="0" w:noVBand="1"/>
        </w:tblPrEx>
        <w:trPr>
          <w:tblCellSpacing w:w="15" w:type="dxa"/>
        </w:trPr>
        <w:tc>
          <w:tcPr>
            <w:tcW w:w="1686" w:type="dxa"/>
            <w:tcBorders>
              <w:top w:val="outset" w:sz="6" w:space="0" w:color="auto"/>
              <w:left w:val="outset" w:sz="6" w:space="0" w:color="auto"/>
              <w:bottom w:val="outset" w:sz="6" w:space="0" w:color="auto"/>
              <w:right w:val="outset" w:sz="6" w:space="0" w:color="auto"/>
            </w:tcBorders>
            <w:vAlign w:val="center"/>
            <w:hideMark/>
          </w:tcPr>
          <w:p w:rsidR="005074DE" w:rsidRDefault="005074DE" w:rsidP="00CC254D">
            <w:pPr>
              <w:jc w:val="center"/>
              <w:rPr>
                <w:b/>
                <w:bCs/>
              </w:rPr>
            </w:pPr>
            <w:r>
              <w:rPr>
                <w:b/>
                <w:bCs/>
              </w:rPr>
              <w:t>Subject</w:t>
            </w:r>
          </w:p>
        </w:tc>
        <w:tc>
          <w:tcPr>
            <w:tcW w:w="914" w:type="dxa"/>
            <w:tcBorders>
              <w:top w:val="outset" w:sz="6" w:space="0" w:color="auto"/>
              <w:left w:val="outset" w:sz="6" w:space="0" w:color="auto"/>
              <w:bottom w:val="outset" w:sz="6" w:space="0" w:color="auto"/>
              <w:right w:val="outset" w:sz="6" w:space="0" w:color="auto"/>
            </w:tcBorders>
            <w:vAlign w:val="center"/>
            <w:hideMark/>
          </w:tcPr>
          <w:p w:rsidR="005074DE" w:rsidRDefault="005074DE" w:rsidP="00CC254D">
            <w:pPr>
              <w:jc w:val="center"/>
              <w:rPr>
                <w:b/>
                <w:bCs/>
              </w:rPr>
            </w:pPr>
            <w:r>
              <w:rPr>
                <w:b/>
                <w:bCs/>
              </w:rPr>
              <w:t>Course Number</w:t>
            </w:r>
          </w:p>
        </w:tc>
        <w:tc>
          <w:tcPr>
            <w:tcW w:w="727" w:type="dxa"/>
            <w:tcBorders>
              <w:top w:val="outset" w:sz="6" w:space="0" w:color="auto"/>
              <w:left w:val="outset" w:sz="6" w:space="0" w:color="auto"/>
              <w:bottom w:val="outset" w:sz="6" w:space="0" w:color="auto"/>
              <w:right w:val="outset" w:sz="6" w:space="0" w:color="auto"/>
            </w:tcBorders>
            <w:vAlign w:val="center"/>
            <w:hideMark/>
          </w:tcPr>
          <w:p w:rsidR="005074DE" w:rsidRDefault="005074DE" w:rsidP="00CC254D">
            <w:pPr>
              <w:jc w:val="center"/>
              <w:rPr>
                <w:b/>
                <w:bCs/>
              </w:rPr>
            </w:pPr>
            <w:r>
              <w:rPr>
                <w:b/>
                <w:bCs/>
              </w:rPr>
              <w:t>New Revise Drop</w:t>
            </w:r>
          </w:p>
        </w:tc>
        <w:tc>
          <w:tcPr>
            <w:tcW w:w="3508" w:type="dxa"/>
            <w:tcBorders>
              <w:top w:val="outset" w:sz="6" w:space="0" w:color="auto"/>
              <w:left w:val="outset" w:sz="6" w:space="0" w:color="auto"/>
              <w:bottom w:val="outset" w:sz="6" w:space="0" w:color="auto"/>
              <w:right w:val="outset" w:sz="6" w:space="0" w:color="auto"/>
            </w:tcBorders>
            <w:vAlign w:val="center"/>
            <w:hideMark/>
          </w:tcPr>
          <w:p w:rsidR="005074DE" w:rsidRDefault="005074DE" w:rsidP="00CC254D">
            <w:pPr>
              <w:jc w:val="center"/>
              <w:rPr>
                <w:b/>
                <w:bCs/>
              </w:rPr>
            </w:pPr>
            <w:r>
              <w:rPr>
                <w:b/>
                <w:bCs/>
              </w:rPr>
              <w:t>Current</w:t>
            </w:r>
          </w:p>
        </w:tc>
        <w:tc>
          <w:tcPr>
            <w:tcW w:w="3508" w:type="dxa"/>
            <w:tcBorders>
              <w:top w:val="outset" w:sz="6" w:space="0" w:color="auto"/>
              <w:left w:val="outset" w:sz="6" w:space="0" w:color="auto"/>
              <w:bottom w:val="outset" w:sz="6" w:space="0" w:color="auto"/>
              <w:right w:val="outset" w:sz="6" w:space="0" w:color="auto"/>
            </w:tcBorders>
            <w:vAlign w:val="center"/>
            <w:hideMark/>
          </w:tcPr>
          <w:p w:rsidR="005074DE" w:rsidRDefault="005074DE" w:rsidP="00CC254D">
            <w:pPr>
              <w:jc w:val="center"/>
              <w:rPr>
                <w:b/>
                <w:bCs/>
              </w:rPr>
            </w:pPr>
            <w:r>
              <w:rPr>
                <w:b/>
                <w:bCs/>
              </w:rPr>
              <w:t>Proposed</w:t>
            </w:r>
          </w:p>
        </w:tc>
        <w:tc>
          <w:tcPr>
            <w:tcW w:w="967" w:type="dxa"/>
            <w:tcBorders>
              <w:top w:val="outset" w:sz="6" w:space="0" w:color="auto"/>
              <w:left w:val="outset" w:sz="6" w:space="0" w:color="auto"/>
              <w:bottom w:val="outset" w:sz="6" w:space="0" w:color="auto"/>
              <w:right w:val="outset" w:sz="6" w:space="0" w:color="auto"/>
            </w:tcBorders>
            <w:vAlign w:val="center"/>
            <w:hideMark/>
          </w:tcPr>
          <w:p w:rsidR="005074DE" w:rsidRDefault="005074DE" w:rsidP="005074DE">
            <w:pPr>
              <w:jc w:val="center"/>
              <w:rPr>
                <w:b/>
                <w:bCs/>
              </w:rPr>
            </w:pPr>
            <w:r>
              <w:rPr>
                <w:b/>
                <w:bCs/>
              </w:rPr>
              <w:t>Effective</w:t>
            </w:r>
          </w:p>
          <w:p w:rsidR="005074DE" w:rsidRDefault="005074DE" w:rsidP="00CC254D">
            <w:pPr>
              <w:jc w:val="center"/>
              <w:rPr>
                <w:b/>
                <w:bCs/>
              </w:rPr>
            </w:pPr>
            <w:r>
              <w:rPr>
                <w:b/>
                <w:bCs/>
              </w:rPr>
              <w:t>Date</w:t>
            </w:r>
          </w:p>
        </w:tc>
      </w:tr>
      <w:tr w:rsidR="005074DE" w:rsidRPr="009F0159" w:rsidTr="00F37C91">
        <w:tblPrEx>
          <w:tblCellMar>
            <w:top w:w="15" w:type="dxa"/>
            <w:left w:w="15" w:type="dxa"/>
            <w:bottom w:w="15" w:type="dxa"/>
            <w:right w:w="15" w:type="dxa"/>
          </w:tblCellMar>
          <w:tblLook w:val="04A0" w:firstRow="1" w:lastRow="0" w:firstColumn="1" w:lastColumn="0" w:noHBand="0" w:noVBand="1"/>
        </w:tblPrEx>
        <w:trPr>
          <w:tblCellSpacing w:w="15" w:type="dxa"/>
        </w:trPr>
        <w:tc>
          <w:tcPr>
            <w:tcW w:w="1686" w:type="dxa"/>
            <w:tcBorders>
              <w:top w:val="outset" w:sz="6" w:space="0" w:color="auto"/>
              <w:left w:val="outset" w:sz="6" w:space="0" w:color="auto"/>
              <w:bottom w:val="outset" w:sz="6" w:space="0" w:color="auto"/>
              <w:right w:val="outset" w:sz="6" w:space="0" w:color="auto"/>
            </w:tcBorders>
            <w:hideMark/>
          </w:tcPr>
          <w:p w:rsidR="005074DE" w:rsidRDefault="005074DE" w:rsidP="005074DE">
            <w:pPr>
              <w:rPr>
                <w:b/>
                <w:bCs/>
              </w:rPr>
            </w:pPr>
            <w:r>
              <w:t>BIOLOGY</w:t>
            </w:r>
          </w:p>
        </w:tc>
        <w:tc>
          <w:tcPr>
            <w:tcW w:w="914" w:type="dxa"/>
            <w:tcBorders>
              <w:top w:val="outset" w:sz="6" w:space="0" w:color="auto"/>
              <w:left w:val="outset" w:sz="6" w:space="0" w:color="auto"/>
              <w:bottom w:val="outset" w:sz="6" w:space="0" w:color="auto"/>
              <w:right w:val="outset" w:sz="6" w:space="0" w:color="auto"/>
            </w:tcBorders>
            <w:hideMark/>
          </w:tcPr>
          <w:p w:rsidR="005074DE" w:rsidRDefault="005074DE" w:rsidP="00F37C91">
            <w:pPr>
              <w:jc w:val="center"/>
              <w:rPr>
                <w:b/>
                <w:bCs/>
              </w:rPr>
            </w:pPr>
            <w:r>
              <w:t>573</w:t>
            </w:r>
          </w:p>
        </w:tc>
        <w:tc>
          <w:tcPr>
            <w:tcW w:w="727" w:type="dxa"/>
            <w:tcBorders>
              <w:top w:val="outset" w:sz="6" w:space="0" w:color="auto"/>
              <w:left w:val="outset" w:sz="6" w:space="0" w:color="auto"/>
              <w:bottom w:val="outset" w:sz="6" w:space="0" w:color="auto"/>
              <w:right w:val="outset" w:sz="6" w:space="0" w:color="auto"/>
            </w:tcBorders>
            <w:hideMark/>
          </w:tcPr>
          <w:p w:rsidR="005074DE" w:rsidRDefault="005074DE" w:rsidP="005074DE">
            <w:pPr>
              <w:jc w:val="center"/>
              <w:rPr>
                <w:b/>
                <w:bCs/>
              </w:rPr>
            </w:pPr>
            <w:r>
              <w:t>New</w:t>
            </w:r>
          </w:p>
        </w:tc>
        <w:tc>
          <w:tcPr>
            <w:tcW w:w="3508" w:type="dxa"/>
            <w:tcBorders>
              <w:top w:val="outset" w:sz="6" w:space="0" w:color="auto"/>
              <w:left w:val="outset" w:sz="6" w:space="0" w:color="auto"/>
              <w:bottom w:val="outset" w:sz="6" w:space="0" w:color="auto"/>
              <w:right w:val="outset" w:sz="6" w:space="0" w:color="auto"/>
            </w:tcBorders>
            <w:hideMark/>
          </w:tcPr>
          <w:p w:rsidR="005074DE" w:rsidRDefault="005074DE" w:rsidP="005074DE">
            <w:pPr>
              <w:jc w:val="center"/>
              <w:rPr>
                <w:b/>
                <w:bCs/>
              </w:rPr>
            </w:pPr>
            <w:r>
              <w:t>--N/A--</w:t>
            </w:r>
          </w:p>
        </w:tc>
        <w:tc>
          <w:tcPr>
            <w:tcW w:w="3508" w:type="dxa"/>
            <w:tcBorders>
              <w:top w:val="outset" w:sz="6" w:space="0" w:color="auto"/>
              <w:left w:val="outset" w:sz="6" w:space="0" w:color="auto"/>
              <w:bottom w:val="outset" w:sz="6" w:space="0" w:color="auto"/>
              <w:right w:val="outset" w:sz="6" w:space="0" w:color="auto"/>
            </w:tcBorders>
            <w:hideMark/>
          </w:tcPr>
          <w:p w:rsidR="005074DE" w:rsidRDefault="005074DE" w:rsidP="005074DE">
            <w:pPr>
              <w:rPr>
                <w:b/>
                <w:bCs/>
              </w:rPr>
            </w:pPr>
            <w:r>
              <w:rPr>
                <w:b/>
              </w:rPr>
              <w:t xml:space="preserve">Ancient DNA </w:t>
            </w:r>
            <w:r>
              <w:t xml:space="preserve">3 The prospects and problems associated with the study of ancient DNA </w:t>
            </w:r>
            <w:proofErr w:type="gramStart"/>
            <w:r>
              <w:t>are</w:t>
            </w:r>
            <w:proofErr w:type="gramEnd"/>
            <w:r>
              <w:t xml:space="preserve"> explored through reading and discussing primary literature. </w:t>
            </w:r>
          </w:p>
        </w:tc>
        <w:tc>
          <w:tcPr>
            <w:tcW w:w="967" w:type="dxa"/>
            <w:tcBorders>
              <w:top w:val="outset" w:sz="6" w:space="0" w:color="auto"/>
              <w:left w:val="outset" w:sz="6" w:space="0" w:color="auto"/>
              <w:bottom w:val="outset" w:sz="6" w:space="0" w:color="auto"/>
              <w:right w:val="outset" w:sz="6" w:space="0" w:color="auto"/>
            </w:tcBorders>
            <w:hideMark/>
          </w:tcPr>
          <w:p w:rsidR="005074DE" w:rsidRDefault="005074DE" w:rsidP="00F37C91">
            <w:pPr>
              <w:jc w:val="center"/>
              <w:rPr>
                <w:b/>
                <w:bCs/>
              </w:rPr>
            </w:pPr>
            <w:r>
              <w:t>8-2013</w:t>
            </w:r>
          </w:p>
        </w:tc>
      </w:tr>
      <w:tr w:rsidR="005074DE" w:rsidRPr="009F0159" w:rsidTr="00F37C91">
        <w:tblPrEx>
          <w:tblCellMar>
            <w:top w:w="15" w:type="dxa"/>
            <w:left w:w="15" w:type="dxa"/>
            <w:bottom w:w="15" w:type="dxa"/>
            <w:right w:w="15" w:type="dxa"/>
          </w:tblCellMar>
          <w:tblLook w:val="04A0" w:firstRow="1" w:lastRow="0" w:firstColumn="1" w:lastColumn="0" w:noHBand="0" w:noVBand="1"/>
        </w:tblPrEx>
        <w:trPr>
          <w:tblCellSpacing w:w="15" w:type="dxa"/>
        </w:trPr>
        <w:tc>
          <w:tcPr>
            <w:tcW w:w="1686" w:type="dxa"/>
            <w:tcBorders>
              <w:top w:val="outset" w:sz="6" w:space="0" w:color="auto"/>
              <w:left w:val="outset" w:sz="6" w:space="0" w:color="auto"/>
              <w:bottom w:val="outset" w:sz="6" w:space="0" w:color="auto"/>
              <w:right w:val="outset" w:sz="6" w:space="0" w:color="auto"/>
            </w:tcBorders>
          </w:tcPr>
          <w:p w:rsidR="005074DE" w:rsidRDefault="005074DE" w:rsidP="005074DE">
            <w:r>
              <w:t>FS</w:t>
            </w:r>
          </w:p>
        </w:tc>
        <w:tc>
          <w:tcPr>
            <w:tcW w:w="914" w:type="dxa"/>
            <w:tcBorders>
              <w:top w:val="outset" w:sz="6" w:space="0" w:color="auto"/>
              <w:left w:val="outset" w:sz="6" w:space="0" w:color="auto"/>
              <w:bottom w:val="outset" w:sz="6" w:space="0" w:color="auto"/>
              <w:right w:val="outset" w:sz="6" w:space="0" w:color="auto"/>
            </w:tcBorders>
          </w:tcPr>
          <w:p w:rsidR="005074DE" w:rsidRDefault="005074DE" w:rsidP="00F37C91">
            <w:pPr>
              <w:jc w:val="center"/>
            </w:pPr>
            <w:r>
              <w:t>501</w:t>
            </w:r>
          </w:p>
        </w:tc>
        <w:tc>
          <w:tcPr>
            <w:tcW w:w="727" w:type="dxa"/>
            <w:tcBorders>
              <w:top w:val="outset" w:sz="6" w:space="0" w:color="auto"/>
              <w:left w:val="outset" w:sz="6" w:space="0" w:color="auto"/>
              <w:bottom w:val="outset" w:sz="6" w:space="0" w:color="auto"/>
              <w:right w:val="outset" w:sz="6" w:space="0" w:color="auto"/>
            </w:tcBorders>
          </w:tcPr>
          <w:p w:rsidR="005074DE" w:rsidRDefault="005074DE" w:rsidP="005074DE">
            <w:r>
              <w:t>Revise</w:t>
            </w:r>
          </w:p>
        </w:tc>
        <w:tc>
          <w:tcPr>
            <w:tcW w:w="3508" w:type="dxa"/>
            <w:tcBorders>
              <w:top w:val="outset" w:sz="6" w:space="0" w:color="auto"/>
              <w:left w:val="outset" w:sz="6" w:space="0" w:color="auto"/>
              <w:bottom w:val="outset" w:sz="6" w:space="0" w:color="auto"/>
              <w:right w:val="outset" w:sz="6" w:space="0" w:color="auto"/>
            </w:tcBorders>
          </w:tcPr>
          <w:p w:rsidR="005074DE" w:rsidRDefault="005074DE" w:rsidP="005074DE">
            <w:pPr>
              <w:pStyle w:val="course"/>
            </w:pPr>
            <w:r w:rsidRPr="005074DE">
              <w:rPr>
                <w:rStyle w:val="courseheader"/>
                <w:b/>
              </w:rPr>
              <w:t>Topics in Food Science</w:t>
            </w:r>
            <w:r>
              <w:rPr>
                <w:rStyle w:val="courseheader"/>
              </w:rPr>
              <w:t xml:space="preserve"> </w:t>
            </w:r>
            <w:r w:rsidRPr="005074DE">
              <w:rPr>
                <w:rStyle w:val="coursedata"/>
              </w:rPr>
              <w:t xml:space="preserve">V 1-3 May be repeated for credit; cumulative maximum 6 hours. </w:t>
            </w:r>
            <w:r>
              <w:rPr>
                <w:rStyle w:val="coursedata"/>
              </w:rPr>
              <w:t xml:space="preserve">Selected topics in food science. </w:t>
            </w:r>
            <w:r w:rsidRPr="005074DE">
              <w:rPr>
                <w:rStyle w:val="coursedata"/>
                <w:strike/>
              </w:rPr>
              <w:t xml:space="preserve">Cooperative course taught jointly by WSU and UI (FS 501). </w:t>
            </w:r>
          </w:p>
          <w:p w:rsidR="005074DE" w:rsidRPr="005074DE" w:rsidRDefault="005074DE" w:rsidP="005074DE">
            <w:pPr>
              <w:pStyle w:val="course"/>
              <w:rPr>
                <w:rStyle w:val="courseheader"/>
                <w:b/>
              </w:rPr>
            </w:pPr>
          </w:p>
        </w:tc>
        <w:tc>
          <w:tcPr>
            <w:tcW w:w="3508" w:type="dxa"/>
            <w:tcBorders>
              <w:top w:val="outset" w:sz="6" w:space="0" w:color="auto"/>
              <w:left w:val="outset" w:sz="6" w:space="0" w:color="auto"/>
              <w:bottom w:val="outset" w:sz="6" w:space="0" w:color="auto"/>
              <w:right w:val="outset" w:sz="6" w:space="0" w:color="auto"/>
            </w:tcBorders>
          </w:tcPr>
          <w:p w:rsidR="005074DE" w:rsidRPr="006A7E26" w:rsidRDefault="005074DE" w:rsidP="005074DE">
            <w:pPr>
              <w:pStyle w:val="course"/>
              <w:rPr>
                <w:u w:val="single"/>
              </w:rPr>
            </w:pPr>
            <w:r w:rsidRPr="005074DE">
              <w:rPr>
                <w:rStyle w:val="courseheader"/>
                <w:b/>
              </w:rPr>
              <w:t>Topics in Food Science</w:t>
            </w:r>
            <w:r>
              <w:rPr>
                <w:rStyle w:val="courseheader"/>
              </w:rPr>
              <w:t xml:space="preserve"> </w:t>
            </w:r>
            <w:r w:rsidRPr="005074DE">
              <w:rPr>
                <w:rStyle w:val="coursedata"/>
              </w:rPr>
              <w:t xml:space="preserve">V 1-3 May be repeated for credit; cumulative maximum 6 hours. </w:t>
            </w:r>
            <w:r>
              <w:rPr>
                <w:rStyle w:val="coursedata"/>
              </w:rPr>
              <w:t xml:space="preserve">Selected topics in food science. </w:t>
            </w:r>
            <w:r w:rsidRPr="006A7E26">
              <w:rPr>
                <w:rStyle w:val="coursedata"/>
                <w:u w:val="single"/>
              </w:rPr>
              <w:t>Cooperative: Open to UI degree-seeking student.</w:t>
            </w:r>
          </w:p>
          <w:p w:rsidR="005074DE" w:rsidRPr="005074DE" w:rsidRDefault="005074DE" w:rsidP="005074DE">
            <w:pPr>
              <w:pStyle w:val="course"/>
              <w:rPr>
                <w:rStyle w:val="courseheader"/>
                <w:b/>
              </w:rPr>
            </w:pPr>
          </w:p>
        </w:tc>
        <w:tc>
          <w:tcPr>
            <w:tcW w:w="967" w:type="dxa"/>
            <w:tcBorders>
              <w:top w:val="outset" w:sz="6" w:space="0" w:color="auto"/>
              <w:left w:val="outset" w:sz="6" w:space="0" w:color="auto"/>
              <w:bottom w:val="outset" w:sz="6" w:space="0" w:color="auto"/>
              <w:right w:val="outset" w:sz="6" w:space="0" w:color="auto"/>
            </w:tcBorders>
          </w:tcPr>
          <w:p w:rsidR="005074DE" w:rsidRDefault="005074DE" w:rsidP="00F37C91">
            <w:pPr>
              <w:jc w:val="center"/>
            </w:pPr>
            <w:r>
              <w:t>8-2013</w:t>
            </w:r>
          </w:p>
        </w:tc>
      </w:tr>
      <w:tr w:rsidR="005074DE" w:rsidRPr="009F0159" w:rsidTr="00F37C91">
        <w:tblPrEx>
          <w:tblCellMar>
            <w:top w:w="15" w:type="dxa"/>
            <w:left w:w="15" w:type="dxa"/>
            <w:bottom w:w="15" w:type="dxa"/>
            <w:right w:w="15" w:type="dxa"/>
          </w:tblCellMar>
          <w:tblLook w:val="04A0" w:firstRow="1" w:lastRow="0" w:firstColumn="1" w:lastColumn="0" w:noHBand="0" w:noVBand="1"/>
        </w:tblPrEx>
        <w:trPr>
          <w:tblCellSpacing w:w="15" w:type="dxa"/>
        </w:trPr>
        <w:tc>
          <w:tcPr>
            <w:tcW w:w="1686" w:type="dxa"/>
            <w:tcBorders>
              <w:top w:val="outset" w:sz="6" w:space="0" w:color="auto"/>
              <w:left w:val="outset" w:sz="6" w:space="0" w:color="auto"/>
              <w:bottom w:val="outset" w:sz="6" w:space="0" w:color="auto"/>
              <w:right w:val="outset" w:sz="6" w:space="0" w:color="auto"/>
            </w:tcBorders>
          </w:tcPr>
          <w:p w:rsidR="005074DE" w:rsidRDefault="005074DE" w:rsidP="005074DE">
            <w:r>
              <w:t>FS</w:t>
            </w:r>
          </w:p>
        </w:tc>
        <w:tc>
          <w:tcPr>
            <w:tcW w:w="914" w:type="dxa"/>
            <w:tcBorders>
              <w:top w:val="outset" w:sz="6" w:space="0" w:color="auto"/>
              <w:left w:val="outset" w:sz="6" w:space="0" w:color="auto"/>
              <w:bottom w:val="outset" w:sz="6" w:space="0" w:color="auto"/>
              <w:right w:val="outset" w:sz="6" w:space="0" w:color="auto"/>
            </w:tcBorders>
          </w:tcPr>
          <w:p w:rsidR="005074DE" w:rsidRDefault="005074DE" w:rsidP="00F37C91">
            <w:pPr>
              <w:jc w:val="center"/>
            </w:pPr>
            <w:r>
              <w:t>531</w:t>
            </w:r>
          </w:p>
        </w:tc>
        <w:tc>
          <w:tcPr>
            <w:tcW w:w="727" w:type="dxa"/>
            <w:tcBorders>
              <w:top w:val="outset" w:sz="6" w:space="0" w:color="auto"/>
              <w:left w:val="outset" w:sz="6" w:space="0" w:color="auto"/>
              <w:bottom w:val="outset" w:sz="6" w:space="0" w:color="auto"/>
              <w:right w:val="outset" w:sz="6" w:space="0" w:color="auto"/>
            </w:tcBorders>
          </w:tcPr>
          <w:p w:rsidR="005074DE" w:rsidRDefault="005074DE" w:rsidP="005074DE">
            <w:r>
              <w:t>Revise</w:t>
            </w:r>
          </w:p>
        </w:tc>
        <w:tc>
          <w:tcPr>
            <w:tcW w:w="3508" w:type="dxa"/>
            <w:tcBorders>
              <w:top w:val="outset" w:sz="6" w:space="0" w:color="auto"/>
              <w:left w:val="outset" w:sz="6" w:space="0" w:color="auto"/>
              <w:bottom w:val="outset" w:sz="6" w:space="0" w:color="auto"/>
              <w:right w:val="outset" w:sz="6" w:space="0" w:color="auto"/>
            </w:tcBorders>
          </w:tcPr>
          <w:p w:rsidR="005074DE" w:rsidRDefault="005074DE" w:rsidP="005074DE">
            <w:pPr>
              <w:pStyle w:val="course"/>
            </w:pPr>
            <w:r w:rsidRPr="009F73C2">
              <w:rPr>
                <w:rStyle w:val="courseheader"/>
                <w:b/>
              </w:rPr>
              <w:t>Advanced Food Safety and Quality</w:t>
            </w:r>
            <w:r>
              <w:rPr>
                <w:rStyle w:val="courseheader"/>
              </w:rPr>
              <w:t xml:space="preserve"> </w:t>
            </w:r>
            <w:r>
              <w:rPr>
                <w:rStyle w:val="coursedata"/>
              </w:rPr>
              <w:t xml:space="preserve">3 </w:t>
            </w:r>
            <w:r w:rsidRPr="00F37C91">
              <w:rPr>
                <w:rStyle w:val="coursedata"/>
              </w:rPr>
              <w:t xml:space="preserve">Course Prerequisite: Admission to MS in Agriculture program. </w:t>
            </w:r>
            <w:r>
              <w:rPr>
                <w:rStyle w:val="coursedata"/>
              </w:rPr>
              <w:t xml:space="preserve">Analysis of the safety, regulation, protection, and quality of processed food products and their manufacturing environment. </w:t>
            </w:r>
          </w:p>
          <w:p w:rsidR="005074DE" w:rsidRPr="005074DE" w:rsidRDefault="005074DE" w:rsidP="005074DE">
            <w:pPr>
              <w:pStyle w:val="course"/>
              <w:rPr>
                <w:rStyle w:val="courseheader"/>
                <w:b/>
              </w:rPr>
            </w:pPr>
          </w:p>
        </w:tc>
        <w:tc>
          <w:tcPr>
            <w:tcW w:w="3508" w:type="dxa"/>
            <w:tcBorders>
              <w:top w:val="outset" w:sz="6" w:space="0" w:color="auto"/>
              <w:left w:val="outset" w:sz="6" w:space="0" w:color="auto"/>
              <w:bottom w:val="outset" w:sz="6" w:space="0" w:color="auto"/>
              <w:right w:val="outset" w:sz="6" w:space="0" w:color="auto"/>
            </w:tcBorders>
          </w:tcPr>
          <w:p w:rsidR="005074DE" w:rsidRDefault="005074DE" w:rsidP="005074DE">
            <w:pPr>
              <w:pStyle w:val="course"/>
            </w:pPr>
            <w:r w:rsidRPr="009F73C2">
              <w:rPr>
                <w:rStyle w:val="courseheader"/>
                <w:b/>
              </w:rPr>
              <w:t>Advanced Food Safety and Quality</w:t>
            </w:r>
            <w:r>
              <w:rPr>
                <w:rStyle w:val="courseheader"/>
              </w:rPr>
              <w:t xml:space="preserve"> </w:t>
            </w:r>
            <w:r>
              <w:rPr>
                <w:rStyle w:val="coursedata"/>
              </w:rPr>
              <w:t xml:space="preserve">3 </w:t>
            </w:r>
            <w:r w:rsidR="00F37C91" w:rsidRPr="00F37C91">
              <w:rPr>
                <w:rStyle w:val="coursedata"/>
              </w:rPr>
              <w:t xml:space="preserve">Course Prerequisite: Admission to MS in Agriculture program. </w:t>
            </w:r>
            <w:bookmarkStart w:id="0" w:name="_GoBack"/>
            <w:bookmarkEnd w:id="0"/>
            <w:r>
              <w:rPr>
                <w:rStyle w:val="coursedata"/>
              </w:rPr>
              <w:t xml:space="preserve">Analysis of the safety, regulation, protection, and quality of processed food products and their manufacturing environment. </w:t>
            </w:r>
            <w:r w:rsidR="009F73C2" w:rsidRPr="006A7E26">
              <w:rPr>
                <w:rStyle w:val="coursedata"/>
                <w:u w:val="single"/>
              </w:rPr>
              <w:t>Cooperative: Open to UI degree-seeking student.</w:t>
            </w:r>
          </w:p>
          <w:p w:rsidR="005074DE" w:rsidRPr="005074DE" w:rsidRDefault="005074DE" w:rsidP="005074DE">
            <w:pPr>
              <w:pStyle w:val="course"/>
              <w:rPr>
                <w:rStyle w:val="courseheader"/>
                <w:b/>
              </w:rPr>
            </w:pPr>
          </w:p>
        </w:tc>
        <w:tc>
          <w:tcPr>
            <w:tcW w:w="967" w:type="dxa"/>
            <w:tcBorders>
              <w:top w:val="outset" w:sz="6" w:space="0" w:color="auto"/>
              <w:left w:val="outset" w:sz="6" w:space="0" w:color="auto"/>
              <w:bottom w:val="outset" w:sz="6" w:space="0" w:color="auto"/>
              <w:right w:val="outset" w:sz="6" w:space="0" w:color="auto"/>
            </w:tcBorders>
          </w:tcPr>
          <w:p w:rsidR="005074DE" w:rsidRDefault="009F73C2" w:rsidP="00F37C91">
            <w:pPr>
              <w:jc w:val="center"/>
            </w:pPr>
            <w:r>
              <w:t>8-</w:t>
            </w:r>
            <w:r w:rsidR="00F37C91">
              <w:t>20</w:t>
            </w:r>
            <w:r>
              <w:t>13</w:t>
            </w:r>
          </w:p>
        </w:tc>
      </w:tr>
      <w:tr w:rsidR="005074DE" w:rsidRPr="009F0159" w:rsidTr="00F37C91">
        <w:tblPrEx>
          <w:tblCellMar>
            <w:top w:w="15" w:type="dxa"/>
            <w:left w:w="15" w:type="dxa"/>
            <w:bottom w:w="15" w:type="dxa"/>
            <w:right w:w="15" w:type="dxa"/>
          </w:tblCellMar>
          <w:tblLook w:val="04A0" w:firstRow="1" w:lastRow="0" w:firstColumn="1" w:lastColumn="0" w:noHBand="0" w:noVBand="1"/>
        </w:tblPrEx>
        <w:trPr>
          <w:tblCellSpacing w:w="15" w:type="dxa"/>
        </w:trPr>
        <w:tc>
          <w:tcPr>
            <w:tcW w:w="1686" w:type="dxa"/>
            <w:tcBorders>
              <w:top w:val="outset" w:sz="6" w:space="0" w:color="auto"/>
              <w:left w:val="outset" w:sz="6" w:space="0" w:color="auto"/>
              <w:bottom w:val="outset" w:sz="6" w:space="0" w:color="auto"/>
              <w:right w:val="outset" w:sz="6" w:space="0" w:color="auto"/>
            </w:tcBorders>
            <w:hideMark/>
          </w:tcPr>
          <w:p w:rsidR="005074DE" w:rsidRPr="00DA5E72" w:rsidRDefault="005074DE" w:rsidP="005074DE">
            <w:r>
              <w:t>NURS</w:t>
            </w:r>
          </w:p>
        </w:tc>
        <w:tc>
          <w:tcPr>
            <w:tcW w:w="914" w:type="dxa"/>
            <w:tcBorders>
              <w:top w:val="outset" w:sz="6" w:space="0" w:color="auto"/>
              <w:left w:val="outset" w:sz="6" w:space="0" w:color="auto"/>
              <w:bottom w:val="outset" w:sz="6" w:space="0" w:color="auto"/>
              <w:right w:val="outset" w:sz="6" w:space="0" w:color="auto"/>
            </w:tcBorders>
            <w:hideMark/>
          </w:tcPr>
          <w:p w:rsidR="005074DE" w:rsidRPr="00DA5E72" w:rsidRDefault="005074DE" w:rsidP="00F37C91">
            <w:pPr>
              <w:jc w:val="center"/>
            </w:pPr>
            <w:r>
              <w:t>565</w:t>
            </w:r>
          </w:p>
        </w:tc>
        <w:tc>
          <w:tcPr>
            <w:tcW w:w="727" w:type="dxa"/>
            <w:tcBorders>
              <w:top w:val="outset" w:sz="6" w:space="0" w:color="auto"/>
              <w:left w:val="outset" w:sz="6" w:space="0" w:color="auto"/>
              <w:bottom w:val="outset" w:sz="6" w:space="0" w:color="auto"/>
              <w:right w:val="outset" w:sz="6" w:space="0" w:color="auto"/>
            </w:tcBorders>
            <w:hideMark/>
          </w:tcPr>
          <w:p w:rsidR="005074DE" w:rsidRPr="00DA5E72" w:rsidRDefault="005074DE" w:rsidP="005074DE">
            <w:r>
              <w:t>Revise</w:t>
            </w:r>
          </w:p>
        </w:tc>
        <w:tc>
          <w:tcPr>
            <w:tcW w:w="3508" w:type="dxa"/>
            <w:tcBorders>
              <w:top w:val="outset" w:sz="6" w:space="0" w:color="auto"/>
              <w:left w:val="outset" w:sz="6" w:space="0" w:color="auto"/>
              <w:bottom w:val="outset" w:sz="6" w:space="0" w:color="auto"/>
              <w:right w:val="outset" w:sz="6" w:space="0" w:color="auto"/>
            </w:tcBorders>
            <w:hideMark/>
          </w:tcPr>
          <w:p w:rsidR="005074DE" w:rsidRDefault="005074DE" w:rsidP="005074DE">
            <w:pPr>
              <w:pStyle w:val="course"/>
            </w:pPr>
            <w:r w:rsidRPr="005074DE">
              <w:rPr>
                <w:rStyle w:val="courseheader"/>
                <w:b/>
              </w:rPr>
              <w:t xml:space="preserve">Information Management for Clinical Practice </w:t>
            </w:r>
            <w:r>
              <w:rPr>
                <w:rStyle w:val="coursedata"/>
              </w:rPr>
              <w:t>3 (</w:t>
            </w:r>
            <w:r w:rsidRPr="005074DE">
              <w:rPr>
                <w:rStyle w:val="coursedata"/>
                <w:strike/>
              </w:rPr>
              <w:t>2-3</w:t>
            </w:r>
            <w:r>
              <w:rPr>
                <w:rStyle w:val="coursedata"/>
              </w:rPr>
              <w:t xml:space="preserve">) Application/evaluation of nursing informatics; information systems to support clinical research, practice, administration, and education. Required preparation must include competency in word processing/spreadsheets. </w:t>
            </w:r>
          </w:p>
          <w:p w:rsidR="005074DE" w:rsidRPr="00DA5E72" w:rsidRDefault="005074DE" w:rsidP="005074DE"/>
        </w:tc>
        <w:tc>
          <w:tcPr>
            <w:tcW w:w="3508" w:type="dxa"/>
            <w:tcBorders>
              <w:top w:val="outset" w:sz="6" w:space="0" w:color="auto"/>
              <w:left w:val="outset" w:sz="6" w:space="0" w:color="auto"/>
              <w:bottom w:val="outset" w:sz="6" w:space="0" w:color="auto"/>
              <w:right w:val="outset" w:sz="6" w:space="0" w:color="auto"/>
            </w:tcBorders>
            <w:hideMark/>
          </w:tcPr>
          <w:p w:rsidR="005074DE" w:rsidRDefault="005074DE" w:rsidP="005074DE">
            <w:pPr>
              <w:pStyle w:val="course"/>
            </w:pPr>
            <w:r w:rsidRPr="005074DE">
              <w:rPr>
                <w:rStyle w:val="courseheader"/>
                <w:b/>
              </w:rPr>
              <w:t xml:space="preserve">Information Management for Clinical Practice </w:t>
            </w:r>
            <w:r>
              <w:rPr>
                <w:rStyle w:val="coursedata"/>
              </w:rPr>
              <w:t xml:space="preserve">3 Application/evaluation of nursing informatics; information systems to support clinical research, practice, administration, and education. Required preparation must include competency in word processing/spreadsheets. </w:t>
            </w:r>
          </w:p>
          <w:p w:rsidR="005074DE" w:rsidRPr="00D82DB6" w:rsidRDefault="005074DE" w:rsidP="005074DE"/>
        </w:tc>
        <w:tc>
          <w:tcPr>
            <w:tcW w:w="967" w:type="dxa"/>
            <w:tcBorders>
              <w:top w:val="outset" w:sz="6" w:space="0" w:color="auto"/>
              <w:left w:val="outset" w:sz="6" w:space="0" w:color="auto"/>
              <w:bottom w:val="outset" w:sz="6" w:space="0" w:color="auto"/>
              <w:right w:val="outset" w:sz="6" w:space="0" w:color="auto"/>
            </w:tcBorders>
            <w:hideMark/>
          </w:tcPr>
          <w:p w:rsidR="005074DE" w:rsidRDefault="00F37C91" w:rsidP="00F37C91">
            <w:pPr>
              <w:jc w:val="center"/>
            </w:pPr>
            <w:r>
              <w:t>5</w:t>
            </w:r>
            <w:r w:rsidR="005074DE">
              <w:t>-2013</w:t>
            </w:r>
          </w:p>
        </w:tc>
      </w:tr>
      <w:tr w:rsidR="005074DE" w:rsidRPr="009F0159" w:rsidTr="00F37C91">
        <w:tblPrEx>
          <w:tblCellMar>
            <w:top w:w="15" w:type="dxa"/>
            <w:left w:w="15" w:type="dxa"/>
            <w:bottom w:w="15" w:type="dxa"/>
            <w:right w:w="15" w:type="dxa"/>
          </w:tblCellMar>
          <w:tblLook w:val="04A0" w:firstRow="1" w:lastRow="0" w:firstColumn="1" w:lastColumn="0" w:noHBand="0" w:noVBand="1"/>
        </w:tblPrEx>
        <w:trPr>
          <w:tblCellSpacing w:w="15" w:type="dxa"/>
        </w:trPr>
        <w:tc>
          <w:tcPr>
            <w:tcW w:w="1686" w:type="dxa"/>
            <w:tcBorders>
              <w:top w:val="outset" w:sz="6" w:space="0" w:color="auto"/>
              <w:left w:val="outset" w:sz="6" w:space="0" w:color="auto"/>
              <w:bottom w:val="outset" w:sz="6" w:space="0" w:color="auto"/>
              <w:right w:val="outset" w:sz="6" w:space="0" w:color="auto"/>
            </w:tcBorders>
            <w:hideMark/>
          </w:tcPr>
          <w:p w:rsidR="005074DE" w:rsidRDefault="005074DE" w:rsidP="005074DE">
            <w:r w:rsidRPr="007661CC">
              <w:t>SHS</w:t>
            </w:r>
          </w:p>
        </w:tc>
        <w:tc>
          <w:tcPr>
            <w:tcW w:w="914" w:type="dxa"/>
            <w:tcBorders>
              <w:top w:val="outset" w:sz="6" w:space="0" w:color="auto"/>
              <w:left w:val="outset" w:sz="6" w:space="0" w:color="auto"/>
              <w:bottom w:val="outset" w:sz="6" w:space="0" w:color="auto"/>
              <w:right w:val="outset" w:sz="6" w:space="0" w:color="auto"/>
            </w:tcBorders>
            <w:hideMark/>
          </w:tcPr>
          <w:p w:rsidR="005074DE" w:rsidRDefault="005074DE" w:rsidP="00F37C91">
            <w:pPr>
              <w:jc w:val="center"/>
            </w:pPr>
            <w:r w:rsidRPr="007661CC">
              <w:t>545</w:t>
            </w:r>
          </w:p>
        </w:tc>
        <w:tc>
          <w:tcPr>
            <w:tcW w:w="727" w:type="dxa"/>
            <w:tcBorders>
              <w:top w:val="outset" w:sz="6" w:space="0" w:color="auto"/>
              <w:left w:val="outset" w:sz="6" w:space="0" w:color="auto"/>
              <w:bottom w:val="outset" w:sz="6" w:space="0" w:color="auto"/>
              <w:right w:val="outset" w:sz="6" w:space="0" w:color="auto"/>
            </w:tcBorders>
            <w:hideMark/>
          </w:tcPr>
          <w:p w:rsidR="005074DE" w:rsidRDefault="005074DE" w:rsidP="005074DE">
            <w:r w:rsidRPr="007661CC">
              <w:t>New</w:t>
            </w:r>
          </w:p>
        </w:tc>
        <w:tc>
          <w:tcPr>
            <w:tcW w:w="3508" w:type="dxa"/>
            <w:tcBorders>
              <w:top w:val="outset" w:sz="6" w:space="0" w:color="auto"/>
              <w:left w:val="outset" w:sz="6" w:space="0" w:color="auto"/>
              <w:bottom w:val="outset" w:sz="6" w:space="0" w:color="auto"/>
              <w:right w:val="outset" w:sz="6" w:space="0" w:color="auto"/>
            </w:tcBorders>
            <w:hideMark/>
          </w:tcPr>
          <w:p w:rsidR="005074DE" w:rsidRDefault="005074DE" w:rsidP="005074DE">
            <w:r w:rsidRPr="007661CC">
              <w:t>--N/A--</w:t>
            </w:r>
          </w:p>
        </w:tc>
        <w:tc>
          <w:tcPr>
            <w:tcW w:w="3508" w:type="dxa"/>
            <w:tcBorders>
              <w:top w:val="outset" w:sz="6" w:space="0" w:color="auto"/>
              <w:left w:val="outset" w:sz="6" w:space="0" w:color="auto"/>
              <w:bottom w:val="outset" w:sz="6" w:space="0" w:color="auto"/>
              <w:right w:val="outset" w:sz="6" w:space="0" w:color="auto"/>
            </w:tcBorders>
            <w:hideMark/>
          </w:tcPr>
          <w:p w:rsidR="005074DE" w:rsidRPr="00A52589" w:rsidRDefault="005074DE" w:rsidP="005074DE">
            <w:pPr>
              <w:rPr>
                <w:b/>
              </w:rPr>
            </w:pPr>
            <w:r w:rsidRPr="007661CC">
              <w:rPr>
                <w:b/>
              </w:rPr>
              <w:t xml:space="preserve">Autism Spectrum Disorder </w:t>
            </w:r>
            <w:r w:rsidRPr="007661CC">
              <w:t xml:space="preserve">3 Course Prerequisite: SHS 542. Overview and discussions of the </w:t>
            </w:r>
            <w:r w:rsidRPr="007661CC">
              <w:lastRenderedPageBreak/>
              <w:t xml:space="preserve">characteristics, causes, assessments, and interventions for autism spectrum disorder. </w:t>
            </w:r>
          </w:p>
        </w:tc>
        <w:tc>
          <w:tcPr>
            <w:tcW w:w="967" w:type="dxa"/>
            <w:tcBorders>
              <w:top w:val="outset" w:sz="6" w:space="0" w:color="auto"/>
              <w:left w:val="outset" w:sz="6" w:space="0" w:color="auto"/>
              <w:bottom w:val="outset" w:sz="6" w:space="0" w:color="auto"/>
              <w:right w:val="outset" w:sz="6" w:space="0" w:color="auto"/>
            </w:tcBorders>
            <w:hideMark/>
          </w:tcPr>
          <w:p w:rsidR="005074DE" w:rsidRPr="00DA5E72" w:rsidRDefault="00F37C91" w:rsidP="00F37C91">
            <w:pPr>
              <w:jc w:val="center"/>
            </w:pPr>
            <w:r>
              <w:lastRenderedPageBreak/>
              <w:t>5</w:t>
            </w:r>
            <w:r w:rsidR="005074DE">
              <w:t>-2013</w:t>
            </w:r>
          </w:p>
        </w:tc>
      </w:tr>
      <w:tr w:rsidR="009F73C2" w:rsidRPr="009F0159" w:rsidTr="00F37C91">
        <w:tblPrEx>
          <w:tblCellMar>
            <w:top w:w="15" w:type="dxa"/>
            <w:left w:w="15" w:type="dxa"/>
            <w:bottom w:w="15" w:type="dxa"/>
            <w:right w:w="15" w:type="dxa"/>
          </w:tblCellMar>
          <w:tblLook w:val="04A0" w:firstRow="1" w:lastRow="0" w:firstColumn="1" w:lastColumn="0" w:noHBand="0" w:noVBand="1"/>
        </w:tblPrEx>
        <w:trPr>
          <w:tblCellSpacing w:w="15" w:type="dxa"/>
        </w:trPr>
        <w:tc>
          <w:tcPr>
            <w:tcW w:w="1686" w:type="dxa"/>
            <w:tcBorders>
              <w:top w:val="outset" w:sz="6" w:space="0" w:color="auto"/>
              <w:left w:val="outset" w:sz="6" w:space="0" w:color="auto"/>
              <w:bottom w:val="outset" w:sz="6" w:space="0" w:color="auto"/>
              <w:right w:val="outset" w:sz="6" w:space="0" w:color="auto"/>
            </w:tcBorders>
          </w:tcPr>
          <w:p w:rsidR="009F73C2" w:rsidRDefault="00917846" w:rsidP="005074DE">
            <w:r>
              <w:lastRenderedPageBreak/>
              <w:t>SPMGT</w:t>
            </w:r>
          </w:p>
        </w:tc>
        <w:tc>
          <w:tcPr>
            <w:tcW w:w="914" w:type="dxa"/>
            <w:tcBorders>
              <w:top w:val="outset" w:sz="6" w:space="0" w:color="auto"/>
              <w:left w:val="outset" w:sz="6" w:space="0" w:color="auto"/>
              <w:bottom w:val="outset" w:sz="6" w:space="0" w:color="auto"/>
              <w:right w:val="outset" w:sz="6" w:space="0" w:color="auto"/>
            </w:tcBorders>
          </w:tcPr>
          <w:p w:rsidR="009F73C2" w:rsidRDefault="00917846" w:rsidP="00F37C91">
            <w:pPr>
              <w:jc w:val="center"/>
            </w:pPr>
            <w:r>
              <w:t>521</w:t>
            </w:r>
          </w:p>
        </w:tc>
        <w:tc>
          <w:tcPr>
            <w:tcW w:w="727" w:type="dxa"/>
            <w:tcBorders>
              <w:top w:val="outset" w:sz="6" w:space="0" w:color="auto"/>
              <w:left w:val="outset" w:sz="6" w:space="0" w:color="auto"/>
              <w:bottom w:val="outset" w:sz="6" w:space="0" w:color="auto"/>
              <w:right w:val="outset" w:sz="6" w:space="0" w:color="auto"/>
            </w:tcBorders>
          </w:tcPr>
          <w:p w:rsidR="009F73C2" w:rsidRDefault="00917846" w:rsidP="005074DE">
            <w:r>
              <w:t>New</w:t>
            </w:r>
          </w:p>
        </w:tc>
        <w:tc>
          <w:tcPr>
            <w:tcW w:w="3508" w:type="dxa"/>
            <w:tcBorders>
              <w:top w:val="outset" w:sz="6" w:space="0" w:color="auto"/>
              <w:left w:val="outset" w:sz="6" w:space="0" w:color="auto"/>
              <w:bottom w:val="outset" w:sz="6" w:space="0" w:color="auto"/>
              <w:right w:val="outset" w:sz="6" w:space="0" w:color="auto"/>
            </w:tcBorders>
          </w:tcPr>
          <w:p w:rsidR="009F73C2" w:rsidRDefault="00917846" w:rsidP="00917846">
            <w:pPr>
              <w:pStyle w:val="course"/>
            </w:pPr>
            <w:r w:rsidRPr="00917846">
              <w:rPr>
                <w:rStyle w:val="courseheader"/>
                <w:b/>
              </w:rPr>
              <w:t>Special Topics in Sport Management</w:t>
            </w:r>
            <w:r>
              <w:rPr>
                <w:rStyle w:val="courseheader"/>
              </w:rPr>
              <w:t xml:space="preserve"> </w:t>
            </w:r>
            <w:r>
              <w:rPr>
                <w:rStyle w:val="coursedata"/>
              </w:rPr>
              <w:t>V 1-3 May be repeated for credit; cumulative maximum 6 hours. Course Prerequisite: Admission to the Sport Management Graduate program. Recent research, developments, issues, and /or applications in selected areas of Sport Management.</w:t>
            </w:r>
          </w:p>
        </w:tc>
        <w:tc>
          <w:tcPr>
            <w:tcW w:w="3508" w:type="dxa"/>
            <w:tcBorders>
              <w:top w:val="outset" w:sz="6" w:space="0" w:color="auto"/>
              <w:left w:val="outset" w:sz="6" w:space="0" w:color="auto"/>
              <w:bottom w:val="outset" w:sz="6" w:space="0" w:color="auto"/>
              <w:right w:val="outset" w:sz="6" w:space="0" w:color="auto"/>
            </w:tcBorders>
          </w:tcPr>
          <w:p w:rsidR="00917846" w:rsidRDefault="00917846" w:rsidP="00917846">
            <w:pPr>
              <w:pStyle w:val="course"/>
            </w:pPr>
            <w:r w:rsidRPr="00917846">
              <w:rPr>
                <w:rStyle w:val="courseheader"/>
                <w:b/>
              </w:rPr>
              <w:t>Special Topics in Sport Management</w:t>
            </w:r>
            <w:r>
              <w:rPr>
                <w:rStyle w:val="courseheader"/>
              </w:rPr>
              <w:t xml:space="preserve"> </w:t>
            </w:r>
            <w:r>
              <w:rPr>
                <w:rStyle w:val="coursedata"/>
              </w:rPr>
              <w:t xml:space="preserve">V 1-3 May be repeated for credit; cumulative maximum 6 hours. Course Prerequisite: Admission to the Sport Management Graduate program. Recent research, developments, issues, and /or applications in selected areas of Sport Management. </w:t>
            </w:r>
          </w:p>
          <w:p w:rsidR="009F73C2" w:rsidRPr="00A52589" w:rsidRDefault="009F73C2" w:rsidP="005074DE">
            <w:pPr>
              <w:rPr>
                <w:b/>
              </w:rPr>
            </w:pPr>
          </w:p>
        </w:tc>
        <w:tc>
          <w:tcPr>
            <w:tcW w:w="967" w:type="dxa"/>
            <w:tcBorders>
              <w:top w:val="outset" w:sz="6" w:space="0" w:color="auto"/>
              <w:left w:val="outset" w:sz="6" w:space="0" w:color="auto"/>
              <w:bottom w:val="outset" w:sz="6" w:space="0" w:color="auto"/>
              <w:right w:val="outset" w:sz="6" w:space="0" w:color="auto"/>
            </w:tcBorders>
          </w:tcPr>
          <w:p w:rsidR="009F73C2" w:rsidRPr="00DA5E72" w:rsidRDefault="00F37C91" w:rsidP="00F37C91">
            <w:pPr>
              <w:jc w:val="center"/>
            </w:pPr>
            <w:r>
              <w:t>5-2013</w:t>
            </w:r>
          </w:p>
        </w:tc>
      </w:tr>
    </w:tbl>
    <w:p w:rsidR="00283EE5" w:rsidRPr="009F0159" w:rsidRDefault="00283EE5" w:rsidP="005B3B7D"/>
    <w:sectPr w:rsidR="00283EE5" w:rsidRPr="009F0159" w:rsidSect="0074336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A9D" w:rsidRDefault="00B26A9D" w:rsidP="006968C6">
      <w:r>
        <w:separator/>
      </w:r>
    </w:p>
  </w:endnote>
  <w:endnote w:type="continuationSeparator" w:id="0">
    <w:p w:rsidR="00B26A9D" w:rsidRDefault="00B26A9D" w:rsidP="0069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Stone Serif Std Medium">
    <w:altName w:val="Lucida Bright"/>
    <w:panose1 w:val="00000000000000000000"/>
    <w:charset w:val="00"/>
    <w:family w:val="roman"/>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A9D" w:rsidRDefault="00B26A9D" w:rsidP="006968C6">
      <w:r>
        <w:separator/>
      </w:r>
    </w:p>
  </w:footnote>
  <w:footnote w:type="continuationSeparator" w:id="0">
    <w:p w:rsidR="00B26A9D" w:rsidRDefault="00B26A9D" w:rsidP="00696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D6508"/>
    <w:multiLevelType w:val="hybridMultilevel"/>
    <w:tmpl w:val="0B0070F6"/>
    <w:lvl w:ilvl="0" w:tplc="2E6C45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19543E"/>
    <w:multiLevelType w:val="hybridMultilevel"/>
    <w:tmpl w:val="62663CEC"/>
    <w:lvl w:ilvl="0" w:tplc="0BFE5E7E">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B1"/>
    <w:rsid w:val="0000512B"/>
    <w:rsid w:val="000158F2"/>
    <w:rsid w:val="00017445"/>
    <w:rsid w:val="0002235B"/>
    <w:rsid w:val="00024B50"/>
    <w:rsid w:val="00025318"/>
    <w:rsid w:val="00026661"/>
    <w:rsid w:val="00036213"/>
    <w:rsid w:val="00074E13"/>
    <w:rsid w:val="00077FAF"/>
    <w:rsid w:val="00091F59"/>
    <w:rsid w:val="00094C39"/>
    <w:rsid w:val="000A2ED7"/>
    <w:rsid w:val="000A5898"/>
    <w:rsid w:val="000A5ED2"/>
    <w:rsid w:val="000B0361"/>
    <w:rsid w:val="000B78BC"/>
    <w:rsid w:val="000D0C1F"/>
    <w:rsid w:val="000D603F"/>
    <w:rsid w:val="000D7420"/>
    <w:rsid w:val="000E351B"/>
    <w:rsid w:val="000E5F89"/>
    <w:rsid w:val="000F1F72"/>
    <w:rsid w:val="00104018"/>
    <w:rsid w:val="0011413E"/>
    <w:rsid w:val="00116759"/>
    <w:rsid w:val="00123C58"/>
    <w:rsid w:val="0014542D"/>
    <w:rsid w:val="00145BC6"/>
    <w:rsid w:val="001477E3"/>
    <w:rsid w:val="00157B36"/>
    <w:rsid w:val="00162B15"/>
    <w:rsid w:val="0017102E"/>
    <w:rsid w:val="001B1E56"/>
    <w:rsid w:val="001B79AF"/>
    <w:rsid w:val="001D2E74"/>
    <w:rsid w:val="001E242B"/>
    <w:rsid w:val="001E2ECE"/>
    <w:rsid w:val="001E734A"/>
    <w:rsid w:val="00200EB6"/>
    <w:rsid w:val="002112D2"/>
    <w:rsid w:val="00217E6E"/>
    <w:rsid w:val="002241ED"/>
    <w:rsid w:val="00234068"/>
    <w:rsid w:val="00235507"/>
    <w:rsid w:val="00277D3A"/>
    <w:rsid w:val="00283EE5"/>
    <w:rsid w:val="002B76E3"/>
    <w:rsid w:val="002B78D7"/>
    <w:rsid w:val="002C30F3"/>
    <w:rsid w:val="002D7F9B"/>
    <w:rsid w:val="002E7E05"/>
    <w:rsid w:val="002F112C"/>
    <w:rsid w:val="002F4274"/>
    <w:rsid w:val="00315D13"/>
    <w:rsid w:val="00317DAD"/>
    <w:rsid w:val="003367DD"/>
    <w:rsid w:val="00356410"/>
    <w:rsid w:val="00372969"/>
    <w:rsid w:val="003B02F0"/>
    <w:rsid w:val="003C6A65"/>
    <w:rsid w:val="003F3A60"/>
    <w:rsid w:val="003F3F3B"/>
    <w:rsid w:val="00431586"/>
    <w:rsid w:val="004350C0"/>
    <w:rsid w:val="00436C57"/>
    <w:rsid w:val="0044114C"/>
    <w:rsid w:val="00443E73"/>
    <w:rsid w:val="00461755"/>
    <w:rsid w:val="0047025E"/>
    <w:rsid w:val="00471011"/>
    <w:rsid w:val="0047237C"/>
    <w:rsid w:val="00477713"/>
    <w:rsid w:val="00492B2B"/>
    <w:rsid w:val="004A34D3"/>
    <w:rsid w:val="004A44CD"/>
    <w:rsid w:val="004C4B0B"/>
    <w:rsid w:val="004F09CD"/>
    <w:rsid w:val="004F2E2A"/>
    <w:rsid w:val="00502063"/>
    <w:rsid w:val="005074DE"/>
    <w:rsid w:val="00507A3B"/>
    <w:rsid w:val="00513FD0"/>
    <w:rsid w:val="00524599"/>
    <w:rsid w:val="00524C4E"/>
    <w:rsid w:val="00525FB1"/>
    <w:rsid w:val="00531448"/>
    <w:rsid w:val="005478A7"/>
    <w:rsid w:val="0055575D"/>
    <w:rsid w:val="005744CD"/>
    <w:rsid w:val="005758A3"/>
    <w:rsid w:val="00592854"/>
    <w:rsid w:val="005B3B7D"/>
    <w:rsid w:val="005C0584"/>
    <w:rsid w:val="005D4C43"/>
    <w:rsid w:val="005D7765"/>
    <w:rsid w:val="005E30F4"/>
    <w:rsid w:val="005F1951"/>
    <w:rsid w:val="00605B1B"/>
    <w:rsid w:val="00613BF0"/>
    <w:rsid w:val="00623C85"/>
    <w:rsid w:val="006423E2"/>
    <w:rsid w:val="00661FEA"/>
    <w:rsid w:val="0067640A"/>
    <w:rsid w:val="00682B5A"/>
    <w:rsid w:val="00691C53"/>
    <w:rsid w:val="00694B3A"/>
    <w:rsid w:val="006968C6"/>
    <w:rsid w:val="006A7E26"/>
    <w:rsid w:val="006C1779"/>
    <w:rsid w:val="006E0D1C"/>
    <w:rsid w:val="006F04B7"/>
    <w:rsid w:val="007366C7"/>
    <w:rsid w:val="00743360"/>
    <w:rsid w:val="00754C5A"/>
    <w:rsid w:val="007725D9"/>
    <w:rsid w:val="007759CF"/>
    <w:rsid w:val="00776E4A"/>
    <w:rsid w:val="007A4259"/>
    <w:rsid w:val="007B0EDC"/>
    <w:rsid w:val="007B6480"/>
    <w:rsid w:val="007C4460"/>
    <w:rsid w:val="007C51A5"/>
    <w:rsid w:val="007F0CEE"/>
    <w:rsid w:val="00810015"/>
    <w:rsid w:val="00822354"/>
    <w:rsid w:val="008246F0"/>
    <w:rsid w:val="00827A37"/>
    <w:rsid w:val="00832E1D"/>
    <w:rsid w:val="008407B3"/>
    <w:rsid w:val="0087104C"/>
    <w:rsid w:val="00882A09"/>
    <w:rsid w:val="008953DF"/>
    <w:rsid w:val="008C3A40"/>
    <w:rsid w:val="008C57DF"/>
    <w:rsid w:val="008C6590"/>
    <w:rsid w:val="008D3A38"/>
    <w:rsid w:val="00912B34"/>
    <w:rsid w:val="009130B1"/>
    <w:rsid w:val="00917846"/>
    <w:rsid w:val="009178D5"/>
    <w:rsid w:val="0092001A"/>
    <w:rsid w:val="0092007E"/>
    <w:rsid w:val="00921473"/>
    <w:rsid w:val="00932422"/>
    <w:rsid w:val="00942B41"/>
    <w:rsid w:val="0094460D"/>
    <w:rsid w:val="009629A7"/>
    <w:rsid w:val="00993D47"/>
    <w:rsid w:val="009C5B1F"/>
    <w:rsid w:val="009E1574"/>
    <w:rsid w:val="009E6015"/>
    <w:rsid w:val="009F0159"/>
    <w:rsid w:val="009F73C2"/>
    <w:rsid w:val="00A239B0"/>
    <w:rsid w:val="00A269D9"/>
    <w:rsid w:val="00A2776F"/>
    <w:rsid w:val="00A35288"/>
    <w:rsid w:val="00A4030F"/>
    <w:rsid w:val="00A44732"/>
    <w:rsid w:val="00A455EC"/>
    <w:rsid w:val="00A561A4"/>
    <w:rsid w:val="00A630D6"/>
    <w:rsid w:val="00A66582"/>
    <w:rsid w:val="00A67C5C"/>
    <w:rsid w:val="00A801DB"/>
    <w:rsid w:val="00A92E03"/>
    <w:rsid w:val="00AB3E3C"/>
    <w:rsid w:val="00AC77CD"/>
    <w:rsid w:val="00AF52B6"/>
    <w:rsid w:val="00AF6C27"/>
    <w:rsid w:val="00B07460"/>
    <w:rsid w:val="00B112A4"/>
    <w:rsid w:val="00B144BB"/>
    <w:rsid w:val="00B234E4"/>
    <w:rsid w:val="00B26A9D"/>
    <w:rsid w:val="00B33AD2"/>
    <w:rsid w:val="00B4110A"/>
    <w:rsid w:val="00B527BA"/>
    <w:rsid w:val="00B5526D"/>
    <w:rsid w:val="00B72EB0"/>
    <w:rsid w:val="00BD1DFD"/>
    <w:rsid w:val="00BE1DBA"/>
    <w:rsid w:val="00BE6E0B"/>
    <w:rsid w:val="00C00ADD"/>
    <w:rsid w:val="00C33128"/>
    <w:rsid w:val="00C43929"/>
    <w:rsid w:val="00C45A99"/>
    <w:rsid w:val="00C51D4F"/>
    <w:rsid w:val="00C67A17"/>
    <w:rsid w:val="00C80400"/>
    <w:rsid w:val="00C80707"/>
    <w:rsid w:val="00C83EFD"/>
    <w:rsid w:val="00C976E8"/>
    <w:rsid w:val="00CA3FE8"/>
    <w:rsid w:val="00CB10AF"/>
    <w:rsid w:val="00CC23C1"/>
    <w:rsid w:val="00CC254D"/>
    <w:rsid w:val="00CC78C7"/>
    <w:rsid w:val="00CD5333"/>
    <w:rsid w:val="00D424CD"/>
    <w:rsid w:val="00D63576"/>
    <w:rsid w:val="00D70902"/>
    <w:rsid w:val="00D70D09"/>
    <w:rsid w:val="00D85AA3"/>
    <w:rsid w:val="00D95EC0"/>
    <w:rsid w:val="00DC7959"/>
    <w:rsid w:val="00DD1EB1"/>
    <w:rsid w:val="00DE63C3"/>
    <w:rsid w:val="00E11487"/>
    <w:rsid w:val="00E12D17"/>
    <w:rsid w:val="00E24350"/>
    <w:rsid w:val="00E44586"/>
    <w:rsid w:val="00E514D9"/>
    <w:rsid w:val="00E54211"/>
    <w:rsid w:val="00E660F9"/>
    <w:rsid w:val="00E77D02"/>
    <w:rsid w:val="00E80430"/>
    <w:rsid w:val="00E943FD"/>
    <w:rsid w:val="00E951CC"/>
    <w:rsid w:val="00EA2FF8"/>
    <w:rsid w:val="00EA783D"/>
    <w:rsid w:val="00EF5BEB"/>
    <w:rsid w:val="00EF7B31"/>
    <w:rsid w:val="00F12D63"/>
    <w:rsid w:val="00F37C91"/>
    <w:rsid w:val="00F552C3"/>
    <w:rsid w:val="00F72B67"/>
    <w:rsid w:val="00F76C18"/>
    <w:rsid w:val="00FA2103"/>
    <w:rsid w:val="00FB096C"/>
    <w:rsid w:val="00FE2B03"/>
    <w:rsid w:val="00FE3361"/>
    <w:rsid w:val="00FE53C5"/>
    <w:rsid w:val="00FF4F62"/>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TC Stone Serif Std Medium" w:eastAsiaTheme="minorHAnsi" w:hAnsi="ITC Stone Serif Std Medium" w:cs="Times New Roman"/>
        <w:sz w:val="24"/>
        <w:szCs w:val="21"/>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FB1"/>
    <w:pPr>
      <w:spacing w:after="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5FB1"/>
    <w:rPr>
      <w:b/>
      <w:bCs/>
    </w:rPr>
  </w:style>
  <w:style w:type="character" w:customStyle="1" w:styleId="BodyTextChar">
    <w:name w:val="Body Text Char"/>
    <w:basedOn w:val="DefaultParagraphFont"/>
    <w:link w:val="BodyText"/>
    <w:rsid w:val="00525FB1"/>
    <w:rPr>
      <w:rFonts w:ascii="Times New Roman" w:eastAsia="Times New Roman" w:hAnsi="Times New Roman"/>
      <w:b/>
      <w:bCs/>
      <w:szCs w:val="24"/>
    </w:rPr>
  </w:style>
  <w:style w:type="paragraph" w:styleId="BalloonText">
    <w:name w:val="Balloon Text"/>
    <w:basedOn w:val="Normal"/>
    <w:link w:val="BalloonTextChar"/>
    <w:uiPriority w:val="99"/>
    <w:semiHidden/>
    <w:unhideWhenUsed/>
    <w:rsid w:val="00145BC6"/>
    <w:rPr>
      <w:rFonts w:ascii="Tahoma" w:hAnsi="Tahoma" w:cs="Tahoma"/>
      <w:sz w:val="16"/>
      <w:szCs w:val="16"/>
    </w:rPr>
  </w:style>
  <w:style w:type="character" w:customStyle="1" w:styleId="BalloonTextChar">
    <w:name w:val="Balloon Text Char"/>
    <w:basedOn w:val="DefaultParagraphFont"/>
    <w:link w:val="BalloonText"/>
    <w:uiPriority w:val="99"/>
    <w:semiHidden/>
    <w:rsid w:val="00145BC6"/>
    <w:rPr>
      <w:rFonts w:ascii="Tahoma" w:eastAsia="Times New Roman" w:hAnsi="Tahoma" w:cs="Tahoma"/>
      <w:sz w:val="16"/>
      <w:szCs w:val="16"/>
    </w:rPr>
  </w:style>
  <w:style w:type="paragraph" w:styleId="ListParagraph">
    <w:name w:val="List Paragraph"/>
    <w:basedOn w:val="Normal"/>
    <w:uiPriority w:val="34"/>
    <w:qFormat/>
    <w:rsid w:val="0087104C"/>
    <w:pPr>
      <w:ind w:left="720"/>
      <w:contextualSpacing/>
    </w:pPr>
  </w:style>
  <w:style w:type="paragraph" w:styleId="NoSpacing">
    <w:name w:val="No Spacing"/>
    <w:uiPriority w:val="1"/>
    <w:qFormat/>
    <w:rsid w:val="009629A7"/>
    <w:pPr>
      <w:spacing w:after="0"/>
    </w:pPr>
    <w:rPr>
      <w:rFonts w:asciiTheme="minorHAnsi" w:hAnsiTheme="minorHAnsi" w:cstheme="minorBidi"/>
      <w:sz w:val="22"/>
      <w:szCs w:val="22"/>
    </w:rPr>
  </w:style>
  <w:style w:type="table" w:styleId="TableGrid">
    <w:name w:val="Table Grid"/>
    <w:basedOn w:val="TableNormal"/>
    <w:uiPriority w:val="59"/>
    <w:rsid w:val="000E351B"/>
    <w:pPr>
      <w:spacing w:after="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68C6"/>
    <w:pPr>
      <w:tabs>
        <w:tab w:val="center" w:pos="4680"/>
        <w:tab w:val="right" w:pos="9360"/>
      </w:tabs>
    </w:pPr>
  </w:style>
  <w:style w:type="character" w:customStyle="1" w:styleId="HeaderChar">
    <w:name w:val="Header Char"/>
    <w:basedOn w:val="DefaultParagraphFont"/>
    <w:link w:val="Header"/>
    <w:uiPriority w:val="99"/>
    <w:rsid w:val="006968C6"/>
    <w:rPr>
      <w:rFonts w:ascii="Times New Roman" w:eastAsia="Times New Roman" w:hAnsi="Times New Roman"/>
      <w:szCs w:val="24"/>
    </w:rPr>
  </w:style>
  <w:style w:type="paragraph" w:styleId="Footer">
    <w:name w:val="footer"/>
    <w:basedOn w:val="Normal"/>
    <w:link w:val="FooterChar"/>
    <w:uiPriority w:val="99"/>
    <w:unhideWhenUsed/>
    <w:rsid w:val="006968C6"/>
    <w:pPr>
      <w:tabs>
        <w:tab w:val="center" w:pos="4680"/>
        <w:tab w:val="right" w:pos="9360"/>
      </w:tabs>
    </w:pPr>
  </w:style>
  <w:style w:type="character" w:customStyle="1" w:styleId="FooterChar">
    <w:name w:val="Footer Char"/>
    <w:basedOn w:val="DefaultParagraphFont"/>
    <w:link w:val="Footer"/>
    <w:uiPriority w:val="99"/>
    <w:rsid w:val="006968C6"/>
    <w:rPr>
      <w:rFonts w:ascii="Times New Roman" w:eastAsia="Times New Roman" w:hAnsi="Times New Roman"/>
      <w:szCs w:val="24"/>
    </w:rPr>
  </w:style>
  <w:style w:type="paragraph" w:customStyle="1" w:styleId="course">
    <w:name w:val="course"/>
    <w:basedOn w:val="Normal"/>
    <w:rsid w:val="005074DE"/>
    <w:pPr>
      <w:spacing w:before="100" w:beforeAutospacing="1" w:after="100" w:afterAutospacing="1"/>
    </w:pPr>
  </w:style>
  <w:style w:type="character" w:customStyle="1" w:styleId="courseheader">
    <w:name w:val="course_header"/>
    <w:basedOn w:val="DefaultParagraphFont"/>
    <w:rsid w:val="005074DE"/>
  </w:style>
  <w:style w:type="character" w:customStyle="1" w:styleId="coursedata">
    <w:name w:val="course_data"/>
    <w:basedOn w:val="DefaultParagraphFont"/>
    <w:rsid w:val="005074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TC Stone Serif Std Medium" w:eastAsiaTheme="minorHAnsi" w:hAnsi="ITC Stone Serif Std Medium" w:cs="Times New Roman"/>
        <w:sz w:val="24"/>
        <w:szCs w:val="21"/>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FB1"/>
    <w:pPr>
      <w:spacing w:after="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25FB1"/>
    <w:rPr>
      <w:b/>
      <w:bCs/>
    </w:rPr>
  </w:style>
  <w:style w:type="character" w:customStyle="1" w:styleId="BodyTextChar">
    <w:name w:val="Body Text Char"/>
    <w:basedOn w:val="DefaultParagraphFont"/>
    <w:link w:val="BodyText"/>
    <w:rsid w:val="00525FB1"/>
    <w:rPr>
      <w:rFonts w:ascii="Times New Roman" w:eastAsia="Times New Roman" w:hAnsi="Times New Roman"/>
      <w:b/>
      <w:bCs/>
      <w:szCs w:val="24"/>
    </w:rPr>
  </w:style>
  <w:style w:type="paragraph" w:styleId="BalloonText">
    <w:name w:val="Balloon Text"/>
    <w:basedOn w:val="Normal"/>
    <w:link w:val="BalloonTextChar"/>
    <w:uiPriority w:val="99"/>
    <w:semiHidden/>
    <w:unhideWhenUsed/>
    <w:rsid w:val="00145BC6"/>
    <w:rPr>
      <w:rFonts w:ascii="Tahoma" w:hAnsi="Tahoma" w:cs="Tahoma"/>
      <w:sz w:val="16"/>
      <w:szCs w:val="16"/>
    </w:rPr>
  </w:style>
  <w:style w:type="character" w:customStyle="1" w:styleId="BalloonTextChar">
    <w:name w:val="Balloon Text Char"/>
    <w:basedOn w:val="DefaultParagraphFont"/>
    <w:link w:val="BalloonText"/>
    <w:uiPriority w:val="99"/>
    <w:semiHidden/>
    <w:rsid w:val="00145BC6"/>
    <w:rPr>
      <w:rFonts w:ascii="Tahoma" w:eastAsia="Times New Roman" w:hAnsi="Tahoma" w:cs="Tahoma"/>
      <w:sz w:val="16"/>
      <w:szCs w:val="16"/>
    </w:rPr>
  </w:style>
  <w:style w:type="paragraph" w:styleId="ListParagraph">
    <w:name w:val="List Paragraph"/>
    <w:basedOn w:val="Normal"/>
    <w:uiPriority w:val="34"/>
    <w:qFormat/>
    <w:rsid w:val="0087104C"/>
    <w:pPr>
      <w:ind w:left="720"/>
      <w:contextualSpacing/>
    </w:pPr>
  </w:style>
  <w:style w:type="paragraph" w:styleId="NoSpacing">
    <w:name w:val="No Spacing"/>
    <w:uiPriority w:val="1"/>
    <w:qFormat/>
    <w:rsid w:val="009629A7"/>
    <w:pPr>
      <w:spacing w:after="0"/>
    </w:pPr>
    <w:rPr>
      <w:rFonts w:asciiTheme="minorHAnsi" w:hAnsiTheme="minorHAnsi" w:cstheme="minorBidi"/>
      <w:sz w:val="22"/>
      <w:szCs w:val="22"/>
    </w:rPr>
  </w:style>
  <w:style w:type="table" w:styleId="TableGrid">
    <w:name w:val="Table Grid"/>
    <w:basedOn w:val="TableNormal"/>
    <w:uiPriority w:val="59"/>
    <w:rsid w:val="000E351B"/>
    <w:pPr>
      <w:spacing w:after="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68C6"/>
    <w:pPr>
      <w:tabs>
        <w:tab w:val="center" w:pos="4680"/>
        <w:tab w:val="right" w:pos="9360"/>
      </w:tabs>
    </w:pPr>
  </w:style>
  <w:style w:type="character" w:customStyle="1" w:styleId="HeaderChar">
    <w:name w:val="Header Char"/>
    <w:basedOn w:val="DefaultParagraphFont"/>
    <w:link w:val="Header"/>
    <w:uiPriority w:val="99"/>
    <w:rsid w:val="006968C6"/>
    <w:rPr>
      <w:rFonts w:ascii="Times New Roman" w:eastAsia="Times New Roman" w:hAnsi="Times New Roman"/>
      <w:szCs w:val="24"/>
    </w:rPr>
  </w:style>
  <w:style w:type="paragraph" w:styleId="Footer">
    <w:name w:val="footer"/>
    <w:basedOn w:val="Normal"/>
    <w:link w:val="FooterChar"/>
    <w:uiPriority w:val="99"/>
    <w:unhideWhenUsed/>
    <w:rsid w:val="006968C6"/>
    <w:pPr>
      <w:tabs>
        <w:tab w:val="center" w:pos="4680"/>
        <w:tab w:val="right" w:pos="9360"/>
      </w:tabs>
    </w:pPr>
  </w:style>
  <w:style w:type="character" w:customStyle="1" w:styleId="FooterChar">
    <w:name w:val="Footer Char"/>
    <w:basedOn w:val="DefaultParagraphFont"/>
    <w:link w:val="Footer"/>
    <w:uiPriority w:val="99"/>
    <w:rsid w:val="006968C6"/>
    <w:rPr>
      <w:rFonts w:ascii="Times New Roman" w:eastAsia="Times New Roman" w:hAnsi="Times New Roman"/>
      <w:szCs w:val="24"/>
    </w:rPr>
  </w:style>
  <w:style w:type="paragraph" w:customStyle="1" w:styleId="course">
    <w:name w:val="course"/>
    <w:basedOn w:val="Normal"/>
    <w:rsid w:val="005074DE"/>
    <w:pPr>
      <w:spacing w:before="100" w:beforeAutospacing="1" w:after="100" w:afterAutospacing="1"/>
    </w:pPr>
  </w:style>
  <w:style w:type="character" w:customStyle="1" w:styleId="courseheader">
    <w:name w:val="course_header"/>
    <w:basedOn w:val="DefaultParagraphFont"/>
    <w:rsid w:val="005074DE"/>
  </w:style>
  <w:style w:type="character" w:customStyle="1" w:styleId="coursedata">
    <w:name w:val="course_data"/>
    <w:basedOn w:val="DefaultParagraphFont"/>
    <w:rsid w:val="00507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28212">
      <w:bodyDiv w:val="1"/>
      <w:marLeft w:val="0"/>
      <w:marRight w:val="0"/>
      <w:marTop w:val="0"/>
      <w:marBottom w:val="0"/>
      <w:divBdr>
        <w:top w:val="none" w:sz="0" w:space="0" w:color="auto"/>
        <w:left w:val="none" w:sz="0" w:space="0" w:color="auto"/>
        <w:bottom w:val="none" w:sz="0" w:space="0" w:color="auto"/>
        <w:right w:val="none" w:sz="0" w:space="0" w:color="auto"/>
      </w:divBdr>
    </w:div>
    <w:div w:id="846363369">
      <w:bodyDiv w:val="1"/>
      <w:marLeft w:val="0"/>
      <w:marRight w:val="0"/>
      <w:marTop w:val="0"/>
      <w:marBottom w:val="0"/>
      <w:divBdr>
        <w:top w:val="none" w:sz="0" w:space="0" w:color="auto"/>
        <w:left w:val="none" w:sz="0" w:space="0" w:color="auto"/>
        <w:bottom w:val="none" w:sz="0" w:space="0" w:color="auto"/>
        <w:right w:val="none" w:sz="0" w:space="0" w:color="auto"/>
      </w:divBdr>
    </w:div>
    <w:div w:id="901788203">
      <w:bodyDiv w:val="1"/>
      <w:marLeft w:val="0"/>
      <w:marRight w:val="0"/>
      <w:marTop w:val="0"/>
      <w:marBottom w:val="0"/>
      <w:divBdr>
        <w:top w:val="none" w:sz="0" w:space="0" w:color="auto"/>
        <w:left w:val="none" w:sz="0" w:space="0" w:color="auto"/>
        <w:bottom w:val="none" w:sz="0" w:space="0" w:color="auto"/>
        <w:right w:val="none" w:sz="0" w:space="0" w:color="auto"/>
      </w:divBdr>
    </w:div>
    <w:div w:id="1042556027">
      <w:bodyDiv w:val="1"/>
      <w:marLeft w:val="0"/>
      <w:marRight w:val="0"/>
      <w:marTop w:val="0"/>
      <w:marBottom w:val="0"/>
      <w:divBdr>
        <w:top w:val="none" w:sz="0" w:space="0" w:color="auto"/>
        <w:left w:val="none" w:sz="0" w:space="0" w:color="auto"/>
        <w:bottom w:val="none" w:sz="0" w:space="0" w:color="auto"/>
        <w:right w:val="none" w:sz="0" w:space="0" w:color="auto"/>
      </w:divBdr>
    </w:div>
    <w:div w:id="1421680698">
      <w:bodyDiv w:val="1"/>
      <w:marLeft w:val="0"/>
      <w:marRight w:val="0"/>
      <w:marTop w:val="0"/>
      <w:marBottom w:val="0"/>
      <w:divBdr>
        <w:top w:val="none" w:sz="0" w:space="0" w:color="auto"/>
        <w:left w:val="none" w:sz="0" w:space="0" w:color="auto"/>
        <w:bottom w:val="none" w:sz="0" w:space="0" w:color="auto"/>
        <w:right w:val="none" w:sz="0" w:space="0" w:color="auto"/>
      </w:divBdr>
    </w:div>
    <w:div w:id="199879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5A83C62EB70646BAF6BDEC214F12E6" ma:contentTypeVersion="10" ma:contentTypeDescription="Create a new document." ma:contentTypeScope="" ma:versionID="64b5ea16a0d17d1672cc8777c71f016c">
  <xsd:schema xmlns:xsd="http://www.w3.org/2001/XMLSchema" xmlns:xs="http://www.w3.org/2001/XMLSchema" xmlns:p="http://schemas.microsoft.com/office/2006/metadata/properties" xmlns:ns2="85bd3b25-8f92-4b26-8743-4791a65e220f" xmlns:ns3="d8b27996-972b-4d3c-a8e4-768a7f5069b5" targetNamespace="http://schemas.microsoft.com/office/2006/metadata/properties" ma:root="true" ma:fieldsID="c05e2cf6daf077cf835d60963c30e873" ns2:_="" ns3:_="">
    <xsd:import namespace="85bd3b25-8f92-4b26-8743-4791a65e220f"/>
    <xsd:import namespace="d8b27996-972b-4d3c-a8e4-768a7f506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d3b25-8f92-4b26-8743-4791a65e2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b27996-972b-4d3c-a8e4-768a7f5069b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b5b617-a9ed-48d9-88c2-115e72a28a01}" ma:internalName="TaxCatchAll" ma:showField="CatchAllData" ma:web="d8b27996-972b-4d3c-a8e4-768a7f506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b27996-972b-4d3c-a8e4-768a7f5069b5" xsi:nil="true"/>
    <lcf76f155ced4ddcb4097134ff3c332f xmlns="85bd3b25-8f92-4b26-8743-4791a65e22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B5422A-BD8E-4987-B22D-5B1AF9E42902}">
  <ds:schemaRefs>
    <ds:schemaRef ds:uri="http://schemas.openxmlformats.org/officeDocument/2006/bibliography"/>
  </ds:schemaRefs>
</ds:datastoreItem>
</file>

<file path=customXml/itemProps2.xml><?xml version="1.0" encoding="utf-8"?>
<ds:datastoreItem xmlns:ds="http://schemas.openxmlformats.org/officeDocument/2006/customXml" ds:itemID="{9F87BBCD-8351-4347-AD66-6879FA39571D}"/>
</file>

<file path=customXml/itemProps3.xml><?xml version="1.0" encoding="utf-8"?>
<ds:datastoreItem xmlns:ds="http://schemas.openxmlformats.org/officeDocument/2006/customXml" ds:itemID="{22DE3B81-926A-4F59-997A-E3A17CAB74BE}"/>
</file>

<file path=customXml/itemProps4.xml><?xml version="1.0" encoding="utf-8"?>
<ds:datastoreItem xmlns:ds="http://schemas.openxmlformats.org/officeDocument/2006/customXml" ds:itemID="{0EFEAD6C-D783-4E7B-BA0C-916BB574A8FA}"/>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Devine</dc:creator>
  <cp:lastModifiedBy>Anderson, Gayle M</cp:lastModifiedBy>
  <cp:revision>3</cp:revision>
  <cp:lastPrinted>2012-10-04T18:47:00Z</cp:lastPrinted>
  <dcterms:created xsi:type="dcterms:W3CDTF">2013-01-31T19:18:00Z</dcterms:created>
  <dcterms:modified xsi:type="dcterms:W3CDTF">2013-01-31T19:43:00Z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0x0101001F5A83C62EB70646BAF6BDEC214F12E6</vt:lpwstr>
  </property>
  <property fmtid="{D5CDD505-2E9C-101B-9397-08002B2CF9AE}" pid="3" name="Order">
    <vt:r8>106600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TriggerFlowInfo">
    <vt:lpwstr/>
  </property>
</Properties>
</file>