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3D16E5" w:rsidR="000338D2" w:rsidP="000338D2" w:rsidRDefault="00E174C2" w14:paraId="5FF12B05" w14:textId="1DE7856C">
      <w:pPr>
        <w:spacing w:before="100" w:beforeAutospacing="1" w:after="100" w:afterAutospacing="1" w:line="240" w:lineRule="auto"/>
        <w:outlineLvl w:val="1"/>
        <w:rPr>
          <w:rFonts w:ascii="Times New Roman" w:hAnsi="Times New Roman" w:eastAsia="Times New Roman" w:cs="Times New Roman"/>
          <w:b/>
          <w:bCs/>
          <w:kern w:val="0"/>
          <w:sz w:val="36"/>
          <w:szCs w:val="36"/>
          <w14:ligatures w14:val="none"/>
        </w:rPr>
      </w:pPr>
      <w:r>
        <w:rPr>
          <w:rFonts w:ascii="Times New Roman" w:hAnsi="Times New Roman" w:eastAsia="Times New Roman" w:cs="Times New Roman"/>
          <w:b/>
          <w:bCs/>
          <w:kern w:val="0"/>
          <w:sz w:val="36"/>
          <w:szCs w:val="36"/>
          <w14:ligatures w14:val="none"/>
        </w:rPr>
        <w:t>Facilitator Insights</w:t>
      </w:r>
      <w:r w:rsidRPr="003D16E5" w:rsidR="000338D2">
        <w:rPr>
          <w:rFonts w:ascii="Times New Roman" w:hAnsi="Times New Roman" w:eastAsia="Times New Roman" w:cs="Times New Roman"/>
          <w:b/>
          <w:bCs/>
          <w:kern w:val="0"/>
          <w:sz w:val="36"/>
          <w:szCs w:val="36"/>
          <w14:ligatures w14:val="none"/>
        </w:rPr>
        <w:t xml:space="preserve">: Clinical Reasoning &amp; </w:t>
      </w:r>
      <w:r>
        <w:rPr>
          <w:rFonts w:ascii="Times New Roman" w:hAnsi="Times New Roman" w:eastAsia="Times New Roman" w:cs="Times New Roman"/>
          <w:b/>
          <w:bCs/>
          <w:kern w:val="0"/>
          <w:sz w:val="36"/>
          <w:szCs w:val="36"/>
          <w14:ligatures w14:val="none"/>
        </w:rPr>
        <w:t>Discussion</w:t>
      </w:r>
    </w:p>
    <w:p w:rsidRPr="003D16E5" w:rsidR="000338D2" w:rsidP="0994C235" w:rsidRDefault="0014138F" w14:paraId="420C4086" w14:textId="0E735B3E">
      <w:pPr>
        <w:spacing w:before="100" w:beforeAutospacing="on" w:after="100" w:afterAutospacing="on" w:line="240" w:lineRule="auto"/>
        <w:outlineLvl w:val="2"/>
        <w:rPr>
          <w:rFonts w:ascii="Times New Roman" w:hAnsi="Times New Roman" w:eastAsia="Times New Roman" w:cs="Times New Roman"/>
          <w:b w:val="1"/>
          <w:bCs w:val="1"/>
          <w:kern w:val="0"/>
          <w:sz w:val="27"/>
          <w:szCs w:val="27"/>
          <w14:ligatures w14:val="none"/>
        </w:rPr>
      </w:pPr>
      <w:r w:rsidRPr="0014138F">
        <w:rPr>
          <w:rFonts w:ascii="Times New Roman" w:hAnsi="Times New Roman" w:eastAsia="Times New Roman" w:cs="Times New Roman"/>
          <w:noProof/>
          <w:kern w:val="0"/>
          <w14:ligatures w14:val="none"/>
        </w:rPr>
        <mc:AlternateContent>
          <mc:Choice Requires="wps">
            <w:drawing>
              <wp:anchor distT="45720" distB="45720" distL="114300" distR="114300" simplePos="0" relativeHeight="251659264" behindDoc="0" locked="0" layoutInCell="1" allowOverlap="1" wp14:anchorId="7E434385" wp14:editId="1E345D88">
                <wp:simplePos x="0" y="0"/>
                <wp:positionH relativeFrom="column">
                  <wp:posOffset>-238125</wp:posOffset>
                </wp:positionH>
                <wp:positionV relativeFrom="paragraph">
                  <wp:posOffset>349885</wp:posOffset>
                </wp:positionV>
                <wp:extent cx="6134100" cy="6191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19125"/>
                        </a:xfrm>
                        <a:prstGeom prst="rect">
                          <a:avLst/>
                        </a:prstGeom>
                        <a:solidFill>
                          <a:schemeClr val="bg2"/>
                        </a:solidFill>
                        <a:ln w="9525">
                          <a:solidFill>
                            <a:srgbClr val="000000"/>
                          </a:solidFill>
                          <a:miter lim="800000"/>
                          <a:headEnd/>
                          <a:tailEnd/>
                        </a:ln>
                      </wps:spPr>
                      <wps:txbx>
                        <w:txbxContent>
                          <w:p w:rsidRPr="000F341D" w:rsidR="000F341D" w:rsidP="000F341D" w:rsidRDefault="000F341D" w14:paraId="7DC43BB0" w14:textId="77777777">
                            <w:pPr>
                              <w:spacing w:after="0" w:line="240" w:lineRule="auto"/>
                              <w:ind w:left="630" w:hanging="480"/>
                              <w:rPr>
                                <w:rFonts w:ascii="Times New Roman" w:hAnsi="Times New Roman" w:eastAsia="Times New Roman" w:cs="Times New Roman"/>
                                <w:kern w:val="0"/>
                                <w14:ligatures w14:val="none"/>
                              </w:rPr>
                            </w:pPr>
                            <w:r w:rsidRPr="000F341D">
                              <w:rPr>
                                <w:rFonts w:ascii="Times New Roman" w:hAnsi="Times New Roman" w:eastAsia="Times New Roman" w:cs="Times New Roman"/>
                                <w:kern w:val="0"/>
                                <w14:ligatures w14:val="none"/>
                              </w:rPr>
                              <w:t xml:space="preserve">Bowen, J. L. (2006). Educational Strategies to Promote Clinical Diagnostic Reasoning. </w:t>
                            </w:r>
                            <w:r w:rsidRPr="000F341D">
                              <w:rPr>
                                <w:rFonts w:ascii="Times New Roman" w:hAnsi="Times New Roman" w:eastAsia="Times New Roman" w:cs="Times New Roman"/>
                                <w:i/>
                                <w:iCs/>
                                <w:kern w:val="0"/>
                                <w14:ligatures w14:val="none"/>
                              </w:rPr>
                              <w:t>The New England Journal of Medicine</w:t>
                            </w:r>
                            <w:r w:rsidRPr="000F341D">
                              <w:rPr>
                                <w:rFonts w:ascii="Times New Roman" w:hAnsi="Times New Roman" w:eastAsia="Times New Roman" w:cs="Times New Roman"/>
                                <w:kern w:val="0"/>
                                <w14:ligatures w14:val="none"/>
                              </w:rPr>
                              <w:t xml:space="preserve">, </w:t>
                            </w:r>
                            <w:r w:rsidRPr="000F341D">
                              <w:rPr>
                                <w:rFonts w:ascii="Times New Roman" w:hAnsi="Times New Roman" w:eastAsia="Times New Roman" w:cs="Times New Roman"/>
                                <w:i/>
                                <w:iCs/>
                                <w:kern w:val="0"/>
                                <w14:ligatures w14:val="none"/>
                              </w:rPr>
                              <w:t>355</w:t>
                            </w:r>
                            <w:r w:rsidRPr="000F341D">
                              <w:rPr>
                                <w:rFonts w:ascii="Times New Roman" w:hAnsi="Times New Roman" w:eastAsia="Times New Roman" w:cs="Times New Roman"/>
                                <w:kern w:val="0"/>
                                <w14:ligatures w14:val="none"/>
                              </w:rPr>
                              <w:t xml:space="preserve">(21), 2217–2225. </w:t>
                            </w:r>
                            <w:hyperlink w:history="1" r:id="rId7">
                              <w:r w:rsidRPr="000F341D">
                                <w:rPr>
                                  <w:rFonts w:ascii="Times New Roman" w:hAnsi="Times New Roman" w:eastAsia="Times New Roman" w:cs="Times New Roman"/>
                                  <w:color w:val="0000FF"/>
                                  <w:kern w:val="0"/>
                                  <w:u w:val="single"/>
                                  <w14:ligatures w14:val="none"/>
                                </w:rPr>
                                <w:t>https://doi.org/10.1056/NEJMra054782</w:t>
                              </w:r>
                            </w:hyperlink>
                          </w:p>
                          <w:p w:rsidR="0014138F" w:rsidRDefault="0014138F" w14:paraId="3741D1F4" w14:textId="09A799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434385">
                <v:stroke joinstyle="miter"/>
                <v:path gradientshapeok="t" o:connecttype="rect"/>
              </v:shapetype>
              <v:shape id="Text Box 2" style="position:absolute;margin-left:-18.75pt;margin-top:27.55pt;width:483pt;height:4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e8e8e8 [321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">
                <v:textbox>
                  <w:txbxContent>
                    <w:p w:rsidRPr="000F341D" w:rsidR="000F341D" w:rsidP="000F341D" w:rsidRDefault="000F341D" w14:paraId="7DC43BB0" w14:textId="77777777">
                      <w:pPr>
                        <w:spacing w:after="0" w:line="240" w:lineRule="auto"/>
                        <w:ind w:left="630" w:hanging="480"/>
                        <w:rPr>
                          <w:rFonts w:ascii="Times New Roman" w:hAnsi="Times New Roman" w:eastAsia="Times New Roman" w:cs="Times New Roman"/>
                          <w:kern w:val="0"/>
                          <w14:ligatures w14:val="none"/>
                        </w:rPr>
                      </w:pPr>
                      <w:r w:rsidRPr="000F341D">
                        <w:rPr>
                          <w:rFonts w:ascii="Times New Roman" w:hAnsi="Times New Roman" w:eastAsia="Times New Roman" w:cs="Times New Roman"/>
                          <w:kern w:val="0"/>
                          <w14:ligatures w14:val="none"/>
                        </w:rPr>
                        <w:t xml:space="preserve">Bowen, J. L. (2006). Educational Strategies to Promote Clinical Diagnostic Reasoning. </w:t>
                      </w:r>
                      <w:r w:rsidRPr="000F341D">
                        <w:rPr>
                          <w:rFonts w:ascii="Times New Roman" w:hAnsi="Times New Roman" w:eastAsia="Times New Roman" w:cs="Times New Roman"/>
                          <w:i/>
                          <w:iCs/>
                          <w:kern w:val="0"/>
                          <w14:ligatures w14:val="none"/>
                        </w:rPr>
                        <w:t>The New England Journal of Medicine</w:t>
                      </w:r>
                      <w:r w:rsidRPr="000F341D">
                        <w:rPr>
                          <w:rFonts w:ascii="Times New Roman" w:hAnsi="Times New Roman" w:eastAsia="Times New Roman" w:cs="Times New Roman"/>
                          <w:kern w:val="0"/>
                          <w14:ligatures w14:val="none"/>
                        </w:rPr>
                        <w:t xml:space="preserve">, </w:t>
                      </w:r>
                      <w:r w:rsidRPr="000F341D">
                        <w:rPr>
                          <w:rFonts w:ascii="Times New Roman" w:hAnsi="Times New Roman" w:eastAsia="Times New Roman" w:cs="Times New Roman"/>
                          <w:i/>
                          <w:iCs/>
                          <w:kern w:val="0"/>
                          <w14:ligatures w14:val="none"/>
                        </w:rPr>
                        <w:t>355</w:t>
                      </w:r>
                      <w:r w:rsidRPr="000F341D">
                        <w:rPr>
                          <w:rFonts w:ascii="Times New Roman" w:hAnsi="Times New Roman" w:eastAsia="Times New Roman" w:cs="Times New Roman"/>
                          <w:kern w:val="0"/>
                          <w14:ligatures w14:val="none"/>
                        </w:rPr>
                        <w:t xml:space="preserve">(21), 2217–2225. </w:t>
                      </w:r>
                      <w:hyperlink w:history="1" r:id="rId8">
                        <w:r w:rsidRPr="000F341D">
                          <w:rPr>
                            <w:rFonts w:ascii="Times New Roman" w:hAnsi="Times New Roman" w:eastAsia="Times New Roman" w:cs="Times New Roman"/>
                            <w:color w:val="0000FF"/>
                            <w:kern w:val="0"/>
                            <w:u w:val="single"/>
                            <w14:ligatures w14:val="none"/>
                          </w:rPr>
                          <w:t>https://doi.org/10.1056/NEJMra054782</w:t>
                        </w:r>
                      </w:hyperlink>
                    </w:p>
                    <w:p w:rsidR="0014138F" w:rsidRDefault="0014138F" w14:paraId="3741D1F4" w14:textId="09A799CE"/>
                  </w:txbxContent>
                </v:textbox>
                <w10:wrap type="square"/>
              </v:shape>
            </w:pict>
          </mc:Fallback>
        </mc:AlternateContent>
      </w:r>
      <w:r w:rsidRPr="008E7950" w:rsidR="009C50FF">
        <w:rPr>
          <w:rFonts w:ascii="Times New Roman" w:hAnsi="Times New Roman" w:eastAsia="Times New Roman" w:cs="Times New Roman"/>
          <w:b w:val="1"/>
          <w:bCs w:val="1"/>
          <w:noProof/>
          <w:kern w:val="0"/>
          <w:sz w:val="27"/>
          <w:szCs w:val="27"/>
          <w14:ligatures w14:val="none"/>
        </w:rPr>
        <w:t>Practical Insights for Facilitators</w:t>
      </w:r>
      <w:r w:rsidRPr="008E7950" w:rsidR="009C50FF">
        <w:rPr>
          <w:rFonts w:ascii="Times New Roman" w:hAnsi="Times New Roman" w:eastAsia="Times New Roman" w:cs="Times New Roman"/>
          <w:b w:val="1"/>
          <w:bCs w:val="1"/>
          <w:kern w:val="0"/>
          <w:sz w:val="28"/>
          <w:szCs w:val="28"/>
          <w14:ligatures w14:val="none"/>
        </w:rPr>
        <w:t xml:space="preserve"> </w:t>
      </w:r>
      <w:r w:rsidR="009C50FF">
        <w:rPr>
          <w:rFonts w:ascii="Times New Roman" w:hAnsi="Times New Roman" w:eastAsia="Times New Roman" w:cs="Times New Roman"/>
          <w:b w:val="1"/>
          <w:bCs w:val="1"/>
          <w:kern w:val="0"/>
          <w:sz w:val="27"/>
          <w:szCs w:val="27"/>
          <w14:ligatures w14:val="none"/>
        </w:rPr>
        <w:t>From</w:t>
      </w:r>
      <w:r w:rsidR="0014138F">
        <w:rPr>
          <w:rFonts w:ascii="Times New Roman" w:hAnsi="Times New Roman" w:eastAsia="Times New Roman" w:cs="Times New Roman"/>
          <w:b w:val="1"/>
          <w:bCs w:val="1"/>
          <w:kern w:val="0"/>
          <w:sz w:val="27"/>
          <w:szCs w:val="27"/>
          <w14:ligatures w14:val="none"/>
        </w:rPr>
        <w:t>:</w:t>
      </w:r>
    </w:p>
    <w:p w:rsidR="000338D2" w:rsidP="000338D2" w:rsidRDefault="003D16E5" w14:paraId="271F8DBF" w14:textId="43085931">
      <w:pPr>
        <w:spacing w:after="0"/>
        <w:rPr>
          <w:rFonts w:ascii="Times New Roman" w:hAnsi="Times New Roman" w:cs="Times New Roman"/>
          <w:b/>
          <w:bCs/>
          <w:color w:val="C00000"/>
          <w:sz w:val="28"/>
          <w:szCs w:val="28"/>
        </w:rPr>
      </w:pPr>
      <w:r w:rsidRPr="000338D2">
        <w:rPr>
          <w:rFonts w:ascii="Times New Roman" w:hAnsi="Times New Roman" w:cs="Times New Roman"/>
          <w:b/>
          <w:bCs/>
          <w:color w:val="C00000"/>
          <w:sz w:val="28"/>
          <w:szCs w:val="28"/>
        </w:rPr>
        <w:t xml:space="preserve">Section 1: Comparing Diagnoses </w:t>
      </w:r>
      <w:r w:rsidR="008B7EC9">
        <w:rPr>
          <w:rFonts w:ascii="Times New Roman" w:hAnsi="Times New Roman" w:cs="Times New Roman"/>
          <w:b/>
          <w:bCs/>
          <w:color w:val="C00000"/>
          <w:sz w:val="28"/>
          <w:szCs w:val="28"/>
        </w:rPr>
        <w:t>Builds Clinical Reasoning</w:t>
      </w:r>
    </w:p>
    <w:p w:rsidRPr="000338D2" w:rsidR="003D16E5" w:rsidP="000338D2" w:rsidRDefault="003D16E5" w14:paraId="6EAC46DA" w14:textId="0A27F00A">
      <w:pPr>
        <w:spacing w:after="0"/>
        <w:rPr>
          <w:rFonts w:ascii="Times New Roman" w:hAnsi="Times New Roman" w:cs="Times New Roman"/>
          <w:b/>
          <w:bCs/>
          <w:color w:val="C00000"/>
          <w:sz w:val="28"/>
          <w:szCs w:val="28"/>
        </w:rPr>
      </w:pPr>
      <w:r w:rsidRPr="003D16E5">
        <w:rPr>
          <w:rFonts w:ascii="Times New Roman" w:hAnsi="Times New Roman" w:cs="Times New Roman"/>
          <w:b/>
          <w:bCs/>
        </w:rPr>
        <w:t>Key Idea</w:t>
      </w:r>
      <w:r>
        <w:rPr>
          <w:rFonts w:ascii="Times New Roman" w:hAnsi="Times New Roman" w:cs="Times New Roman"/>
          <w:b/>
          <w:bCs/>
          <w:sz w:val="28"/>
          <w:szCs w:val="28"/>
        </w:rPr>
        <w:t xml:space="preserve">: </w:t>
      </w:r>
      <w:r w:rsidRPr="008B7EC9" w:rsidR="008B7EC9">
        <w:rPr>
          <w:rFonts w:ascii="Times New Roman" w:hAnsi="Times New Roman" w:eastAsia="Times New Roman" w:cs="Times New Roman"/>
          <w:kern w:val="0"/>
          <w14:ligatures w14:val="none"/>
        </w:rPr>
        <w:t>Students strengthen clinical reasoning when they compare competing diagnoses and explain why one diagnosis fits better than another.</w:t>
      </w:r>
    </w:p>
    <w:p w:rsidR="003D16E5" w:rsidP="000338D2" w:rsidRDefault="003D16E5" w14:paraId="5827C73C" w14:textId="77777777">
      <w:pPr>
        <w:spacing w:before="100" w:beforeAutospacing="1" w:after="100" w:afterAutospacing="1" w:line="240" w:lineRule="auto"/>
        <w:rPr>
          <w:rFonts w:ascii="Times New Roman" w:hAnsi="Times New Roman" w:cs="Times New Roman"/>
        </w:rPr>
      </w:pPr>
      <w:r w:rsidRPr="003D16E5">
        <w:rPr>
          <w:rFonts w:ascii="Times New Roman" w:hAnsi="Times New Roman" w:cs="Times New Roman"/>
          <w:b/>
          <w:bCs/>
        </w:rPr>
        <w:t>Selected Excerpt from article:</w:t>
      </w:r>
      <w:r w:rsidRPr="003D16E5">
        <w:rPr>
          <w:rFonts w:ascii="Times New Roman" w:hAnsi="Times New Roman" w:cs="Times New Roman"/>
        </w:rPr>
        <w:t xml:space="preserve">  </w:t>
      </w:r>
    </w:p>
    <w:p w:rsidR="008B7EC9" w:rsidP="00EC58A6" w:rsidRDefault="003D16E5" w14:paraId="4A7BABAD" w14:textId="51987427">
      <w:pPr>
        <w:spacing w:before="100" w:beforeAutospacing="1" w:after="100" w:afterAutospacing="1" w:line="240" w:lineRule="auto"/>
        <w:rPr>
          <w:rFonts w:ascii="Times New Roman" w:hAnsi="Times New Roman" w:cs="Times New Roman"/>
        </w:rPr>
      </w:pPr>
      <w:r w:rsidRPr="003D16E5">
        <w:rPr>
          <w:rFonts w:ascii="Times New Roman" w:hAnsi="Times New Roman" w:cs="Times New Roman"/>
        </w:rPr>
        <w:t>“</w:t>
      </w:r>
      <w:r w:rsidRPr="003551CB" w:rsidR="003551CB">
        <w:rPr>
          <w:rFonts w:ascii="Times New Roman" w:hAnsi="Times New Roman" w:cs="Times New Roman"/>
        </w:rPr>
        <w:t>Forcing learners to prioritize the list of diagnostic possibilities and explain their justifications helps them to create linkages between the clinical findings in the case and relevant diagnoses, bolstering their ability to develop pertinent illness scripts</w:t>
      </w:r>
      <w:r w:rsidR="003551CB">
        <w:rPr>
          <w:rFonts w:ascii="Times New Roman" w:hAnsi="Times New Roman" w:cs="Times New Roman"/>
        </w:rPr>
        <w:t xml:space="preserve"> (Bowen, 2006, p. 2221).”</w:t>
      </w:r>
    </w:p>
    <w:p w:rsidRPr="008B7EC9" w:rsidR="008B7EC9" w:rsidP="00EC58A6" w:rsidRDefault="003D16E5" w14:paraId="2445D6CA" w14:textId="77777777">
      <w:pPr>
        <w:spacing w:before="100" w:beforeAutospacing="1" w:after="100" w:afterAutospacing="1" w:line="240" w:lineRule="auto"/>
        <w:rPr>
          <w:rFonts w:ascii="Times New Roman" w:hAnsi="Times New Roman" w:cs="Times New Roman"/>
        </w:rPr>
      </w:pPr>
      <w:r w:rsidRPr="003D16E5">
        <w:rPr>
          <w:rFonts w:ascii="Times New Roman" w:hAnsi="Times New Roman" w:cs="Times New Roman"/>
          <w:b/>
          <w:bCs/>
        </w:rPr>
        <w:t>Guided Summary</w:t>
      </w:r>
      <w:r>
        <w:rPr>
          <w:rFonts w:ascii="Times New Roman" w:hAnsi="Times New Roman" w:cs="Times New Roman"/>
          <w:b/>
          <w:bCs/>
        </w:rPr>
        <w:t xml:space="preserve">: </w:t>
      </w:r>
      <w:r w:rsidRPr="008B7EC9" w:rsidR="008B7EC9">
        <w:rPr>
          <w:rFonts w:ascii="Times New Roman" w:hAnsi="Times New Roman" w:cs="Times New Roman"/>
        </w:rPr>
        <w:t>Students often generate long differential lists without clearly prioritizing them.</w:t>
      </w:r>
    </w:p>
    <w:p w:rsidRPr="008B7EC9" w:rsidR="008B7EC9" w:rsidP="008B7EC9" w:rsidRDefault="008B7EC9" w14:paraId="0F447DE6" w14:textId="77777777">
      <w:pPr>
        <w:spacing w:after="0" w:line="240" w:lineRule="auto"/>
        <w:rPr>
          <w:rFonts w:ascii="Times New Roman" w:hAnsi="Times New Roman" w:cs="Times New Roman"/>
        </w:rPr>
      </w:pPr>
      <w:r w:rsidRPr="008B7EC9">
        <w:rPr>
          <w:rFonts w:ascii="Times New Roman" w:hAnsi="Times New Roman" w:cs="Times New Roman"/>
        </w:rPr>
        <w:t>Facilitators can support reasoning by asking students to:</w:t>
      </w:r>
    </w:p>
    <w:p w:rsidRPr="008B7EC9" w:rsidR="008B7EC9" w:rsidP="008B7EC9" w:rsidRDefault="008B7EC9" w14:paraId="4B3D2D1B" w14:textId="77777777">
      <w:pPr>
        <w:pStyle w:val="ListParagraph"/>
        <w:numPr>
          <w:ilvl w:val="0"/>
          <w:numId w:val="7"/>
        </w:numPr>
        <w:spacing w:after="0" w:line="240" w:lineRule="auto"/>
        <w:rPr>
          <w:rFonts w:ascii="Times New Roman" w:hAnsi="Times New Roman" w:cs="Times New Roman"/>
        </w:rPr>
      </w:pPr>
      <w:r w:rsidRPr="008B7EC9">
        <w:rPr>
          <w:rFonts w:ascii="Times New Roman" w:hAnsi="Times New Roman" w:cs="Times New Roman"/>
        </w:rPr>
        <w:t>explain why one diagnosis is more likely,</w:t>
      </w:r>
    </w:p>
    <w:p w:rsidRPr="008B7EC9" w:rsidR="008B7EC9" w:rsidP="008B7EC9" w:rsidRDefault="008B7EC9" w14:paraId="04F834FC" w14:textId="77777777">
      <w:pPr>
        <w:pStyle w:val="ListParagraph"/>
        <w:numPr>
          <w:ilvl w:val="0"/>
          <w:numId w:val="7"/>
        </w:numPr>
        <w:spacing w:after="0" w:line="240" w:lineRule="auto"/>
        <w:rPr>
          <w:rFonts w:ascii="Times New Roman" w:hAnsi="Times New Roman" w:cs="Times New Roman"/>
        </w:rPr>
      </w:pPr>
      <w:proofErr w:type="gramStart"/>
      <w:r w:rsidRPr="008B7EC9">
        <w:rPr>
          <w:rFonts w:ascii="Times New Roman" w:hAnsi="Times New Roman" w:cs="Times New Roman"/>
        </w:rPr>
        <w:t>compare</w:t>
      </w:r>
      <w:proofErr w:type="gramEnd"/>
      <w:r w:rsidRPr="008B7EC9">
        <w:rPr>
          <w:rFonts w:ascii="Times New Roman" w:hAnsi="Times New Roman" w:cs="Times New Roman"/>
        </w:rPr>
        <w:t xml:space="preserve"> competing differentials,</w:t>
      </w:r>
    </w:p>
    <w:p w:rsidRPr="008B7EC9" w:rsidR="008B7EC9" w:rsidP="008B7EC9" w:rsidRDefault="008B7EC9" w14:paraId="411568A9" w14:textId="77777777">
      <w:pPr>
        <w:pStyle w:val="ListParagraph"/>
        <w:numPr>
          <w:ilvl w:val="0"/>
          <w:numId w:val="7"/>
        </w:numPr>
        <w:spacing w:after="0" w:line="240" w:lineRule="auto"/>
        <w:rPr>
          <w:rFonts w:ascii="Times New Roman" w:hAnsi="Times New Roman" w:cs="Times New Roman"/>
        </w:rPr>
      </w:pPr>
      <w:r w:rsidRPr="008B7EC9">
        <w:rPr>
          <w:rFonts w:ascii="Times New Roman" w:hAnsi="Times New Roman" w:cs="Times New Roman"/>
        </w:rPr>
        <w:t>and identify discriminating findings.</w:t>
      </w:r>
    </w:p>
    <w:p w:rsidR="008B7EC9" w:rsidP="008B7EC9" w:rsidRDefault="008B7EC9" w14:paraId="663E21C0" w14:textId="77777777">
      <w:pPr>
        <w:spacing w:after="0" w:line="240" w:lineRule="auto"/>
        <w:rPr>
          <w:rFonts w:ascii="Times New Roman" w:hAnsi="Times New Roman" w:cs="Times New Roman"/>
        </w:rPr>
      </w:pPr>
    </w:p>
    <w:p w:rsidRPr="008B7EC9" w:rsidR="008B7EC9" w:rsidP="008B7EC9" w:rsidRDefault="008B7EC9" w14:paraId="2155BAB0" w14:textId="72313EAB">
      <w:pPr>
        <w:spacing w:after="0" w:line="240" w:lineRule="auto"/>
        <w:rPr>
          <w:rFonts w:ascii="Times New Roman" w:hAnsi="Times New Roman" w:cs="Times New Roman"/>
        </w:rPr>
      </w:pPr>
      <w:r w:rsidRPr="008B7EC9">
        <w:rPr>
          <w:rFonts w:ascii="Times New Roman" w:hAnsi="Times New Roman" w:cs="Times New Roman"/>
        </w:rPr>
        <w:t>Questions such as:</w:t>
      </w:r>
    </w:p>
    <w:p w:rsidRPr="008B7EC9" w:rsidR="008B7EC9" w:rsidP="008B7EC9" w:rsidRDefault="008B7EC9" w14:paraId="047F05A1" w14:textId="77777777">
      <w:pPr>
        <w:pStyle w:val="ListParagraph"/>
        <w:numPr>
          <w:ilvl w:val="0"/>
          <w:numId w:val="8"/>
        </w:numPr>
        <w:spacing w:after="0" w:line="240" w:lineRule="auto"/>
        <w:rPr>
          <w:rFonts w:ascii="Times New Roman" w:hAnsi="Times New Roman" w:cs="Times New Roman"/>
        </w:rPr>
      </w:pPr>
      <w:r w:rsidRPr="008B7EC9">
        <w:rPr>
          <w:rFonts w:ascii="Times New Roman" w:hAnsi="Times New Roman" w:cs="Times New Roman"/>
        </w:rPr>
        <w:t>“Why does this diagnosis fit better?”</w:t>
      </w:r>
    </w:p>
    <w:p w:rsidRPr="008B7EC9" w:rsidR="008B7EC9" w:rsidP="008B7EC9" w:rsidRDefault="008B7EC9" w14:paraId="18079C93" w14:textId="77777777">
      <w:pPr>
        <w:pStyle w:val="ListParagraph"/>
        <w:numPr>
          <w:ilvl w:val="0"/>
          <w:numId w:val="8"/>
        </w:numPr>
        <w:spacing w:after="0" w:line="240" w:lineRule="auto"/>
        <w:rPr>
          <w:rFonts w:ascii="Times New Roman" w:hAnsi="Times New Roman" w:cs="Times New Roman"/>
        </w:rPr>
      </w:pPr>
      <w:r w:rsidRPr="008B7EC9">
        <w:rPr>
          <w:rFonts w:ascii="Times New Roman" w:hAnsi="Times New Roman" w:cs="Times New Roman"/>
        </w:rPr>
        <w:t>“What findings support your top differential?”</w:t>
      </w:r>
    </w:p>
    <w:p w:rsidRPr="008B7EC9" w:rsidR="008B7EC9" w:rsidP="008B7EC9" w:rsidRDefault="008B7EC9" w14:paraId="770E77E2" w14:textId="77777777">
      <w:pPr>
        <w:pStyle w:val="ListParagraph"/>
        <w:numPr>
          <w:ilvl w:val="0"/>
          <w:numId w:val="8"/>
        </w:numPr>
        <w:spacing w:after="0" w:line="240" w:lineRule="auto"/>
        <w:rPr>
          <w:rFonts w:ascii="Times New Roman" w:hAnsi="Times New Roman" w:cs="Times New Roman"/>
        </w:rPr>
      </w:pPr>
      <w:r w:rsidRPr="008B7EC9">
        <w:rPr>
          <w:rFonts w:ascii="Times New Roman" w:hAnsi="Times New Roman" w:cs="Times New Roman"/>
        </w:rPr>
        <w:t>“What diagnoses still need to be considered?”</w:t>
      </w:r>
    </w:p>
    <w:p w:rsidR="003D16E5" w:rsidP="00EC58A6" w:rsidRDefault="008B7EC9" w14:paraId="5957B85D" w14:textId="616655CA">
      <w:pPr>
        <w:spacing w:before="100" w:beforeAutospacing="1" w:after="100" w:afterAutospacing="1" w:line="240" w:lineRule="auto"/>
        <w:rPr>
          <w:rFonts w:ascii="Times New Roman" w:hAnsi="Times New Roman" w:cs="Times New Roman"/>
        </w:rPr>
      </w:pPr>
      <w:r w:rsidRPr="008B7EC9">
        <w:rPr>
          <w:rFonts w:ascii="Times New Roman" w:hAnsi="Times New Roman" w:cs="Times New Roman"/>
        </w:rPr>
        <w:t>help students move beyond recall toward clinical reasoning.</w:t>
      </w:r>
    </w:p>
    <w:p w:rsidRPr="000338D2" w:rsidR="000338D2" w:rsidP="000338D2" w:rsidRDefault="003D16E5" w14:paraId="3F137409" w14:textId="1815003A">
      <w:pPr>
        <w:spacing w:after="0" w:line="240" w:lineRule="auto"/>
        <w:rPr>
          <w:rFonts w:ascii="Times New Roman" w:hAnsi="Times New Roman" w:cs="Times New Roman"/>
          <w:b/>
          <w:bCs/>
          <w:color w:val="C00000"/>
          <w:sz w:val="28"/>
          <w:szCs w:val="28"/>
        </w:rPr>
      </w:pPr>
      <w:r w:rsidRPr="000338D2">
        <w:rPr>
          <w:rFonts w:ascii="Times New Roman" w:hAnsi="Times New Roman" w:cs="Times New Roman"/>
          <w:b/>
          <w:bCs/>
          <w:color w:val="C00000"/>
          <w:sz w:val="28"/>
          <w:szCs w:val="28"/>
        </w:rPr>
        <w:t xml:space="preserve">Section 2: </w:t>
      </w:r>
      <w:r w:rsidR="008B7EC9">
        <w:rPr>
          <w:rFonts w:ascii="Times New Roman" w:hAnsi="Times New Roman" w:cs="Times New Roman"/>
          <w:b/>
          <w:bCs/>
          <w:color w:val="C00000"/>
          <w:sz w:val="28"/>
          <w:szCs w:val="28"/>
        </w:rPr>
        <w:t>Expert Clinicians Compare and Contrast Illness Scripts</w:t>
      </w:r>
      <w:r w:rsidRPr="000338D2">
        <w:rPr>
          <w:rFonts w:ascii="Times New Roman" w:hAnsi="Times New Roman" w:cs="Times New Roman"/>
          <w:b/>
          <w:bCs/>
          <w:color w:val="C00000"/>
          <w:sz w:val="28"/>
          <w:szCs w:val="28"/>
        </w:rPr>
        <w:t xml:space="preserve"> </w:t>
      </w:r>
    </w:p>
    <w:p w:rsidRPr="003D16E5" w:rsidR="003D16E5" w:rsidP="000338D2" w:rsidRDefault="003D16E5" w14:paraId="2AA1246D" w14:textId="0E6324D7">
      <w:pPr>
        <w:spacing w:after="0" w:line="240" w:lineRule="auto"/>
        <w:rPr>
          <w:rFonts w:ascii="Times New Roman" w:hAnsi="Times New Roman" w:cs="Times New Roman"/>
        </w:rPr>
      </w:pPr>
      <w:r w:rsidRPr="003D16E5">
        <w:rPr>
          <w:rFonts w:ascii="Times New Roman" w:hAnsi="Times New Roman" w:cs="Times New Roman"/>
          <w:b/>
          <w:bCs/>
        </w:rPr>
        <w:t>Key Idea</w:t>
      </w:r>
      <w:r>
        <w:rPr>
          <w:rFonts w:ascii="Times New Roman" w:hAnsi="Times New Roman" w:cs="Times New Roman"/>
          <w:b/>
          <w:bCs/>
          <w:sz w:val="28"/>
          <w:szCs w:val="28"/>
        </w:rPr>
        <w:t xml:space="preserve">: </w:t>
      </w:r>
      <w:r w:rsidRPr="008B7EC9" w:rsidR="008B7EC9">
        <w:rPr>
          <w:rFonts w:ascii="Times New Roman" w:hAnsi="Times New Roman" w:cs="Times New Roman"/>
        </w:rPr>
        <w:t xml:space="preserve">Experienced clinicians constantly compare </w:t>
      </w:r>
      <w:r w:rsidR="00EC58A6">
        <w:rPr>
          <w:rFonts w:ascii="Times New Roman" w:hAnsi="Times New Roman" w:cs="Times New Roman"/>
        </w:rPr>
        <w:t>potential diagnoses as they gather</w:t>
      </w:r>
      <w:r w:rsidRPr="008B7EC9" w:rsidR="008B7EC9">
        <w:rPr>
          <w:rFonts w:ascii="Times New Roman" w:hAnsi="Times New Roman" w:cs="Times New Roman"/>
        </w:rPr>
        <w:t xml:space="preserve"> information.</w:t>
      </w:r>
    </w:p>
    <w:p w:rsidR="003D16E5" w:rsidP="003D16E5" w:rsidRDefault="003D16E5" w14:paraId="36DF8BA2" w14:textId="77777777">
      <w:pPr>
        <w:spacing w:before="100" w:beforeAutospacing="1" w:after="100" w:afterAutospacing="1" w:line="240" w:lineRule="auto"/>
        <w:rPr>
          <w:rFonts w:ascii="Times New Roman" w:hAnsi="Times New Roman" w:cs="Times New Roman"/>
        </w:rPr>
      </w:pPr>
      <w:r w:rsidRPr="003D16E5">
        <w:rPr>
          <w:rFonts w:ascii="Times New Roman" w:hAnsi="Times New Roman" w:cs="Times New Roman"/>
          <w:b/>
          <w:bCs/>
        </w:rPr>
        <w:t>Selected Excerpt from article:</w:t>
      </w:r>
      <w:r w:rsidRPr="003D16E5">
        <w:rPr>
          <w:rFonts w:ascii="Times New Roman" w:hAnsi="Times New Roman" w:cs="Times New Roman"/>
        </w:rPr>
        <w:t xml:space="preserve">  </w:t>
      </w:r>
    </w:p>
    <w:p w:rsidRPr="003D16E5" w:rsidR="003D16E5" w:rsidP="008B7EC9" w:rsidRDefault="003D16E5" w14:paraId="3BE18CB5" w14:textId="4E84D53E">
      <w:pPr>
        <w:pStyle w:val="NormalWeb"/>
      </w:pPr>
      <w:r w:rsidRPr="003D16E5">
        <w:t>“</w:t>
      </w:r>
      <w:r w:rsidRPr="008B7EC9" w:rsidR="008B7EC9">
        <w:t>The expert resident… compared and contrasted several relevant hypotheses… and included the discriminating features of each possibility</w:t>
      </w:r>
      <w:r w:rsidR="008B7EC9">
        <w:t xml:space="preserve"> </w:t>
      </w:r>
      <w:r w:rsidR="003551CB">
        <w:t>(Bowen, 2006, p. 2219)</w:t>
      </w:r>
      <w:r w:rsidRPr="003D16E5">
        <w:t xml:space="preserve">” </w:t>
      </w:r>
    </w:p>
    <w:p w:rsidR="008B7EC9" w:rsidP="008B7EC9" w:rsidRDefault="003D16E5" w14:paraId="645985A4" w14:textId="4309041B">
      <w:pPr>
        <w:pStyle w:val="NormalWeb"/>
      </w:pPr>
      <w:r w:rsidRPr="003D16E5">
        <w:rPr>
          <w:b/>
          <w:bCs/>
        </w:rPr>
        <w:t>Guided Summary</w:t>
      </w:r>
      <w:r>
        <w:rPr>
          <w:b/>
          <w:bCs/>
        </w:rPr>
        <w:t>:</w:t>
      </w:r>
      <w:r w:rsidR="008B7EC9">
        <w:rPr>
          <w:b/>
          <w:bCs/>
        </w:rPr>
        <w:t xml:space="preserve"> </w:t>
      </w:r>
      <w:r w:rsidR="008B7EC9">
        <w:t>Expert clinicians rarely focus on only one diagnosis early in a case.</w:t>
      </w:r>
    </w:p>
    <w:p w:rsidR="008B7EC9" w:rsidP="008B7EC9" w:rsidRDefault="008B7EC9" w14:paraId="23C25082" w14:textId="77777777">
      <w:pPr>
        <w:pStyle w:val="NormalWeb"/>
        <w:spacing w:before="0" w:beforeAutospacing="0" w:after="0" w:afterAutospacing="0"/>
      </w:pPr>
      <w:r>
        <w:t>Instead, they continuously compare:</w:t>
      </w:r>
    </w:p>
    <w:p w:rsidR="008B7EC9" w:rsidP="008B7EC9" w:rsidRDefault="008B7EC9" w14:paraId="792464D4" w14:textId="77777777">
      <w:pPr>
        <w:pStyle w:val="NormalWeb"/>
        <w:numPr>
          <w:ilvl w:val="0"/>
          <w:numId w:val="9"/>
        </w:numPr>
        <w:spacing w:before="0" w:beforeAutospacing="0" w:after="0" w:afterAutospacing="0"/>
      </w:pPr>
      <w:r>
        <w:t>what fits,</w:t>
      </w:r>
    </w:p>
    <w:p w:rsidR="008B7EC9" w:rsidP="008B7EC9" w:rsidRDefault="008B7EC9" w14:paraId="043D22D0" w14:textId="77777777">
      <w:pPr>
        <w:pStyle w:val="NormalWeb"/>
        <w:numPr>
          <w:ilvl w:val="0"/>
          <w:numId w:val="9"/>
        </w:numPr>
        <w:spacing w:before="0" w:beforeAutospacing="0" w:after="0" w:afterAutospacing="0"/>
      </w:pPr>
      <w:r>
        <w:t>what does not fit,</w:t>
      </w:r>
    </w:p>
    <w:p w:rsidR="008B7EC9" w:rsidP="00EA621A" w:rsidRDefault="008B7EC9" w14:paraId="386D3A8A" w14:textId="77777777">
      <w:pPr>
        <w:pStyle w:val="NormalWeb"/>
        <w:numPr>
          <w:ilvl w:val="0"/>
          <w:numId w:val="9"/>
        </w:numPr>
      </w:pPr>
      <w:r>
        <w:t>and what additional information would help distinguish between possibilities.</w:t>
      </w:r>
    </w:p>
    <w:p w:rsidR="008B7EC9" w:rsidP="008B7EC9" w:rsidRDefault="008B7EC9" w14:paraId="24A8FD8A" w14:textId="77777777">
      <w:pPr>
        <w:pStyle w:val="NormalWeb"/>
        <w:spacing w:before="0" w:beforeAutospacing="0" w:after="0" w:afterAutospacing="0"/>
      </w:pPr>
      <w:r>
        <w:t>Facilitators can model this process by encouraging students to:</w:t>
      </w:r>
    </w:p>
    <w:p w:rsidR="008B7EC9" w:rsidP="008B7EC9" w:rsidRDefault="008B7EC9" w14:paraId="3E43B93E" w14:textId="77777777">
      <w:pPr>
        <w:pStyle w:val="NormalWeb"/>
        <w:numPr>
          <w:ilvl w:val="0"/>
          <w:numId w:val="10"/>
        </w:numPr>
        <w:spacing w:before="0" w:beforeAutospacing="0" w:after="0" w:afterAutospacing="0"/>
      </w:pPr>
      <w:r>
        <w:t>compare alternatives,</w:t>
      </w:r>
    </w:p>
    <w:p w:rsidR="008B7EC9" w:rsidP="008B7EC9" w:rsidRDefault="008B7EC9" w14:paraId="47265565" w14:textId="77777777">
      <w:pPr>
        <w:pStyle w:val="NormalWeb"/>
        <w:numPr>
          <w:ilvl w:val="0"/>
          <w:numId w:val="10"/>
        </w:numPr>
      </w:pPr>
      <w:r>
        <w:lastRenderedPageBreak/>
        <w:t>explain uncertainty,</w:t>
      </w:r>
    </w:p>
    <w:p w:rsidR="003D16E5" w:rsidP="008B7EC9" w:rsidRDefault="008B7EC9" w14:paraId="46082C25" w14:textId="2F2BEBFD">
      <w:pPr>
        <w:pStyle w:val="NormalWeb"/>
        <w:numPr>
          <w:ilvl w:val="0"/>
          <w:numId w:val="10"/>
        </w:numPr>
      </w:pPr>
      <w:r>
        <w:t xml:space="preserve">and reconsider assumptions throughout the case discussion. </w:t>
      </w:r>
    </w:p>
    <w:p w:rsidR="000338D2" w:rsidP="000338D2" w:rsidRDefault="003D16E5" w14:paraId="0B5357B8" w14:textId="210AF60E">
      <w:pPr>
        <w:spacing w:after="0"/>
        <w:rPr>
          <w:rFonts w:ascii="Times New Roman" w:hAnsi="Times New Roman" w:cs="Times New Roman"/>
          <w:b/>
          <w:bCs/>
          <w:color w:val="C00000"/>
          <w:sz w:val="28"/>
          <w:szCs w:val="28"/>
        </w:rPr>
      </w:pPr>
      <w:r w:rsidRPr="000338D2">
        <w:rPr>
          <w:rFonts w:ascii="Times New Roman" w:hAnsi="Times New Roman" w:cs="Times New Roman"/>
          <w:b/>
          <w:bCs/>
          <w:color w:val="C00000"/>
          <w:sz w:val="28"/>
          <w:szCs w:val="28"/>
        </w:rPr>
        <w:t xml:space="preserve">Section 3: </w:t>
      </w:r>
      <w:r w:rsidR="008B7EC9">
        <w:rPr>
          <w:rFonts w:ascii="Times New Roman" w:hAnsi="Times New Roman" w:cs="Times New Roman"/>
          <w:b/>
          <w:bCs/>
          <w:color w:val="C00000"/>
          <w:sz w:val="28"/>
          <w:szCs w:val="28"/>
        </w:rPr>
        <w:t>Questions Should Be Connected to Clinical Findings</w:t>
      </w:r>
      <w:r w:rsidRPr="000338D2">
        <w:rPr>
          <w:rFonts w:ascii="Times New Roman" w:hAnsi="Times New Roman" w:cs="Times New Roman"/>
          <w:b/>
          <w:bCs/>
          <w:color w:val="C00000"/>
          <w:sz w:val="28"/>
          <w:szCs w:val="28"/>
        </w:rPr>
        <w:t xml:space="preserve"> </w:t>
      </w:r>
    </w:p>
    <w:p w:rsidRPr="000338D2" w:rsidR="003D16E5" w:rsidP="000338D2" w:rsidRDefault="003D16E5" w14:paraId="574EC428" w14:textId="7E388DAC">
      <w:pPr>
        <w:spacing w:after="0"/>
        <w:rPr>
          <w:rFonts w:ascii="Times New Roman" w:hAnsi="Times New Roman" w:cs="Times New Roman"/>
          <w:color w:val="C00000"/>
        </w:rPr>
      </w:pPr>
      <w:r w:rsidRPr="003D16E5">
        <w:rPr>
          <w:rFonts w:ascii="Times New Roman" w:hAnsi="Times New Roman" w:cs="Times New Roman"/>
          <w:b/>
          <w:bCs/>
        </w:rPr>
        <w:t>Key Idea</w:t>
      </w:r>
      <w:r>
        <w:rPr>
          <w:rFonts w:ascii="Times New Roman" w:hAnsi="Times New Roman" w:cs="Times New Roman"/>
          <w:b/>
          <w:bCs/>
          <w:sz w:val="28"/>
          <w:szCs w:val="28"/>
        </w:rPr>
        <w:t xml:space="preserve">: </w:t>
      </w:r>
      <w:r w:rsidRPr="008B7EC9" w:rsidR="008B7EC9">
        <w:rPr>
          <w:rFonts w:ascii="Times New Roman" w:hAnsi="Times New Roman" w:cs="Times New Roman"/>
        </w:rPr>
        <w:t>Clinical discussions are most effective when students connect their reasoning directly to patient findings.</w:t>
      </w:r>
    </w:p>
    <w:p w:rsidR="003D16E5" w:rsidP="003D16E5" w:rsidRDefault="003D16E5" w14:paraId="6D246C51" w14:textId="77777777">
      <w:pPr>
        <w:spacing w:before="100" w:beforeAutospacing="1" w:after="100" w:afterAutospacing="1" w:line="240" w:lineRule="auto"/>
        <w:rPr>
          <w:rFonts w:ascii="Times New Roman" w:hAnsi="Times New Roman" w:cs="Times New Roman"/>
        </w:rPr>
      </w:pPr>
      <w:r w:rsidRPr="003D16E5">
        <w:rPr>
          <w:rFonts w:ascii="Times New Roman" w:hAnsi="Times New Roman" w:cs="Times New Roman"/>
          <w:b/>
          <w:bCs/>
        </w:rPr>
        <w:t>Selected Excerpt from article:</w:t>
      </w:r>
      <w:r w:rsidRPr="003D16E5">
        <w:rPr>
          <w:rFonts w:ascii="Times New Roman" w:hAnsi="Times New Roman" w:cs="Times New Roman"/>
        </w:rPr>
        <w:t xml:space="preserve">  </w:t>
      </w:r>
    </w:p>
    <w:p w:rsidRPr="003D16E5" w:rsidR="003D16E5" w:rsidP="008B7EC9" w:rsidRDefault="003D16E5" w14:paraId="59C9BDBB" w14:textId="4F397899">
      <w:pPr>
        <w:pStyle w:val="NormalWeb"/>
      </w:pPr>
      <w:r w:rsidRPr="003D16E5">
        <w:t>“</w:t>
      </w:r>
      <w:r w:rsidRPr="003551CB" w:rsidR="003551CB">
        <w:t xml:space="preserve">Ask the learner to support his or her diagnosis using findings from the case; then ask for at least one additional plausible diagnosis and have </w:t>
      </w:r>
      <w:r w:rsidR="003551CB">
        <w:t xml:space="preserve">the </w:t>
      </w:r>
      <w:r w:rsidRPr="003551CB" w:rsidR="003551CB">
        <w:t>learner compare it with alternative diagnostic possibilities. If necessary, provide your own analysis of the case</w:t>
      </w:r>
      <w:r w:rsidR="003551CB">
        <w:t xml:space="preserve"> (Bowen, 2006, p. 2222).” </w:t>
      </w:r>
    </w:p>
    <w:p w:rsidR="008B7EC9" w:rsidP="008B7EC9" w:rsidRDefault="003D16E5" w14:paraId="1BC3FF7B" w14:textId="77777777">
      <w:pPr>
        <w:pStyle w:val="NormalWeb"/>
      </w:pPr>
      <w:r w:rsidRPr="003D16E5">
        <w:rPr>
          <w:b/>
          <w:bCs/>
        </w:rPr>
        <w:t>Guided Summary</w:t>
      </w:r>
      <w:r>
        <w:rPr>
          <w:b/>
          <w:bCs/>
        </w:rPr>
        <w:t>:</w:t>
      </w:r>
      <w:r w:rsidRPr="003D16E5">
        <w:t xml:space="preserve"> </w:t>
      </w:r>
      <w:r w:rsidR="008B7EC9">
        <w:t>Students sometimes jump to diagnoses without fully connecting their reasoning to:</w:t>
      </w:r>
    </w:p>
    <w:p w:rsidR="008B7EC9" w:rsidP="008B7EC9" w:rsidRDefault="008B7EC9" w14:paraId="581B4A78" w14:textId="77777777">
      <w:pPr>
        <w:pStyle w:val="NormalWeb"/>
        <w:numPr>
          <w:ilvl w:val="0"/>
          <w:numId w:val="11"/>
        </w:numPr>
      </w:pPr>
      <w:r>
        <w:t>history,</w:t>
      </w:r>
    </w:p>
    <w:p w:rsidR="008B7EC9" w:rsidP="00EC58A6" w:rsidRDefault="008B7EC9" w14:paraId="2A04B077" w14:textId="77777777">
      <w:pPr>
        <w:pStyle w:val="NormalWeb"/>
        <w:numPr>
          <w:ilvl w:val="0"/>
          <w:numId w:val="11"/>
        </w:numPr>
      </w:pPr>
      <w:r>
        <w:t>physical exam findings,</w:t>
      </w:r>
    </w:p>
    <w:p w:rsidR="008B7EC9" w:rsidP="008B7EC9" w:rsidRDefault="008B7EC9" w14:paraId="10F29B07" w14:textId="77777777">
      <w:pPr>
        <w:pStyle w:val="NormalWeb"/>
        <w:numPr>
          <w:ilvl w:val="0"/>
          <w:numId w:val="11"/>
        </w:numPr>
      </w:pPr>
      <w:r>
        <w:t>or diagnostic results.</w:t>
      </w:r>
    </w:p>
    <w:p w:rsidR="008B7EC9" w:rsidP="008B7EC9" w:rsidRDefault="008B7EC9" w14:paraId="095765EA" w14:textId="77777777">
      <w:pPr>
        <w:pStyle w:val="NormalWeb"/>
      </w:pPr>
      <w:r>
        <w:t>Facilitator questions that reconnect students to the case data often deepen discussion.</w:t>
      </w:r>
    </w:p>
    <w:p w:rsidR="008B7EC9" w:rsidP="008B7EC9" w:rsidRDefault="008B7EC9" w14:paraId="49BAFC78" w14:textId="77777777">
      <w:pPr>
        <w:pStyle w:val="NormalWeb"/>
        <w:spacing w:before="0" w:beforeAutospacing="0" w:after="0" w:afterAutospacing="0"/>
      </w:pPr>
      <w:r>
        <w:t>Examples:</w:t>
      </w:r>
    </w:p>
    <w:p w:rsidR="008B7EC9" w:rsidP="008B7EC9" w:rsidRDefault="008B7EC9" w14:paraId="7ABF8888" w14:textId="77777777">
      <w:pPr>
        <w:pStyle w:val="NormalWeb"/>
        <w:numPr>
          <w:ilvl w:val="0"/>
          <w:numId w:val="12"/>
        </w:numPr>
        <w:spacing w:before="0" w:beforeAutospacing="0" w:after="0" w:afterAutospacing="0"/>
      </w:pPr>
      <w:r>
        <w:t>“What findings support that diagnosis?”</w:t>
      </w:r>
    </w:p>
    <w:p w:rsidR="008B7EC9" w:rsidP="008B7EC9" w:rsidRDefault="008B7EC9" w14:paraId="20E5B7ED" w14:textId="77777777">
      <w:pPr>
        <w:pStyle w:val="NormalWeb"/>
        <w:numPr>
          <w:ilvl w:val="0"/>
          <w:numId w:val="12"/>
        </w:numPr>
      </w:pPr>
      <w:r>
        <w:t>“What findings do not fit?”</w:t>
      </w:r>
    </w:p>
    <w:p w:rsidR="008B7EC9" w:rsidP="008B7EC9" w:rsidRDefault="008B7EC9" w14:paraId="27CDD5F1" w14:textId="77777777">
      <w:pPr>
        <w:pStyle w:val="NormalWeb"/>
        <w:numPr>
          <w:ilvl w:val="0"/>
          <w:numId w:val="12"/>
        </w:numPr>
      </w:pPr>
      <w:r>
        <w:t>“What additional information would help?”</w:t>
      </w:r>
    </w:p>
    <w:p w:rsidR="008B7EC9" w:rsidP="00EC58A6" w:rsidRDefault="008B7EC9" w14:paraId="21D5A099" w14:textId="4CBA4B1E">
      <w:pPr>
        <w:pStyle w:val="NormalWeb"/>
      </w:pPr>
      <w:r>
        <w:t xml:space="preserve">These questions encourage students to reason from evidence rather than </w:t>
      </w:r>
      <w:r w:rsidR="00EC58A6">
        <w:t>rely solely on intuition</w:t>
      </w:r>
      <w:r>
        <w:t>.</w:t>
      </w:r>
    </w:p>
    <w:p w:rsidRPr="000338D2" w:rsidR="000338D2" w:rsidP="00EC58A6" w:rsidRDefault="000338D2" w14:paraId="6657BACE" w14:textId="6C48ACB9">
      <w:pPr>
        <w:pStyle w:val="NormalWeb"/>
        <w:spacing w:before="0" w:beforeAutospacing="0" w:after="0" w:afterAutospacing="0"/>
        <w:rPr>
          <w:b/>
          <w:bCs/>
          <w:color w:val="C00000"/>
          <w:sz w:val="28"/>
          <w:szCs w:val="28"/>
        </w:rPr>
      </w:pPr>
      <w:r w:rsidRPr="000338D2">
        <w:rPr>
          <w:b/>
          <w:bCs/>
          <w:color w:val="C00000"/>
          <w:sz w:val="28"/>
          <w:szCs w:val="28"/>
        </w:rPr>
        <w:t xml:space="preserve">Section 4: </w:t>
      </w:r>
      <w:r w:rsidR="008B7EC9">
        <w:rPr>
          <w:b/>
          <w:bCs/>
          <w:color w:val="C00000"/>
          <w:sz w:val="28"/>
          <w:szCs w:val="28"/>
        </w:rPr>
        <w:t>Discussion Quality More Than Speed</w:t>
      </w:r>
      <w:r w:rsidRPr="000338D2">
        <w:rPr>
          <w:b/>
          <w:bCs/>
          <w:color w:val="C00000"/>
          <w:sz w:val="28"/>
          <w:szCs w:val="28"/>
        </w:rPr>
        <w:t xml:space="preserve"> </w:t>
      </w:r>
    </w:p>
    <w:p w:rsidRPr="003D16E5" w:rsidR="003D16E5" w:rsidP="00EC58A6" w:rsidRDefault="000338D2" w14:paraId="28CA94CA" w14:textId="6950A635">
      <w:pPr>
        <w:pStyle w:val="NormalWeb"/>
        <w:spacing w:before="0" w:beforeAutospacing="0" w:after="0" w:afterAutospacing="0"/>
      </w:pPr>
      <w:r w:rsidRPr="003D16E5">
        <w:rPr>
          <w:b/>
          <w:bCs/>
        </w:rPr>
        <w:t>Key Idea</w:t>
      </w:r>
      <w:r>
        <w:rPr>
          <w:b/>
          <w:bCs/>
          <w:sz w:val="28"/>
          <w:szCs w:val="28"/>
        </w:rPr>
        <w:t xml:space="preserve">: </w:t>
      </w:r>
      <w:r w:rsidRPr="006601DD" w:rsidR="006601DD">
        <w:t>The goal of facilitation is not simply to reach the answer quickly</w:t>
      </w:r>
      <w:r w:rsidR="006601DD">
        <w:t xml:space="preserve">; </w:t>
      </w:r>
      <w:r w:rsidRPr="006601DD" w:rsidR="006601DD">
        <w:t>it is to help students think through uncertainty and clinical reasoning.</w:t>
      </w:r>
    </w:p>
    <w:p w:rsidR="000338D2" w:rsidP="00EC58A6" w:rsidRDefault="000338D2" w14:paraId="5D77F78A" w14:textId="77777777">
      <w:pPr>
        <w:spacing w:before="100" w:beforeAutospacing="1" w:after="100" w:afterAutospacing="1" w:line="240" w:lineRule="auto"/>
        <w:rPr>
          <w:rFonts w:ascii="Times New Roman" w:hAnsi="Times New Roman" w:cs="Times New Roman"/>
        </w:rPr>
      </w:pPr>
      <w:r w:rsidRPr="003D16E5">
        <w:rPr>
          <w:rFonts w:ascii="Times New Roman" w:hAnsi="Times New Roman" w:cs="Times New Roman"/>
          <w:b/>
          <w:bCs/>
        </w:rPr>
        <w:t>Selected Excerpt from article:</w:t>
      </w:r>
      <w:r w:rsidRPr="003D16E5">
        <w:rPr>
          <w:rFonts w:ascii="Times New Roman" w:hAnsi="Times New Roman" w:cs="Times New Roman"/>
        </w:rPr>
        <w:t xml:space="preserve">  </w:t>
      </w:r>
    </w:p>
    <w:p w:rsidRPr="003D16E5" w:rsidR="003D16E5" w:rsidP="00EA621A" w:rsidRDefault="003D16E5" w14:paraId="61D42123" w14:textId="38271ABB">
      <w:pPr>
        <w:pStyle w:val="NormalWeb"/>
      </w:pPr>
      <w:r w:rsidRPr="003D16E5">
        <w:t>“</w:t>
      </w:r>
      <w:r w:rsidRPr="00EA621A" w:rsidR="00EA621A">
        <w:t>Additional data gathering is purposeful: it is a search for the defining and discriminating features of each illness script under consideration</w:t>
      </w:r>
      <w:r w:rsidR="003551CB">
        <w:t xml:space="preserve"> (Bowen, 2006, p. 2220).</w:t>
      </w:r>
      <w:r w:rsidR="00EA621A">
        <w:t>”</w:t>
      </w:r>
    </w:p>
    <w:p w:rsidR="00EA621A" w:rsidP="00EA621A" w:rsidRDefault="000338D2" w14:paraId="27077BBB" w14:textId="31634FD3">
      <w:pPr>
        <w:pStyle w:val="NormalWeb"/>
        <w:spacing w:before="0" w:beforeAutospacing="0" w:after="0" w:afterAutospacing="0"/>
      </w:pPr>
      <w:r w:rsidRPr="003D16E5">
        <w:rPr>
          <w:b/>
          <w:bCs/>
        </w:rPr>
        <w:t>Guided Summary</w:t>
      </w:r>
      <w:r>
        <w:rPr>
          <w:b/>
          <w:bCs/>
        </w:rPr>
        <w:t>:</w:t>
      </w:r>
      <w:r w:rsidRPr="003D16E5">
        <w:t xml:space="preserve"> </w:t>
      </w:r>
      <w:r w:rsidR="00EA621A">
        <w:t>Strong clinical discussions often involve:</w:t>
      </w:r>
    </w:p>
    <w:p w:rsidR="00EA621A" w:rsidP="00EA621A" w:rsidRDefault="00EA621A" w14:paraId="78E33E13" w14:textId="77777777">
      <w:pPr>
        <w:pStyle w:val="NormalWeb"/>
        <w:numPr>
          <w:ilvl w:val="0"/>
          <w:numId w:val="13"/>
        </w:numPr>
        <w:spacing w:before="0" w:beforeAutospacing="0" w:after="0" w:afterAutospacing="0"/>
      </w:pPr>
      <w:r>
        <w:t>slowing down,</w:t>
      </w:r>
    </w:p>
    <w:p w:rsidR="00EA621A" w:rsidP="00EA621A" w:rsidRDefault="00EA621A" w14:paraId="40D15331" w14:textId="77777777">
      <w:pPr>
        <w:pStyle w:val="NormalWeb"/>
        <w:numPr>
          <w:ilvl w:val="0"/>
          <w:numId w:val="13"/>
        </w:numPr>
        <w:spacing w:before="0" w:beforeAutospacing="0" w:after="0" w:afterAutospacing="0"/>
      </w:pPr>
      <w:r>
        <w:t>reconsidering possibilities,</w:t>
      </w:r>
    </w:p>
    <w:p w:rsidR="00EA621A" w:rsidP="00EA621A" w:rsidRDefault="00EA621A" w14:paraId="3971550B" w14:textId="77777777">
      <w:pPr>
        <w:pStyle w:val="NormalWeb"/>
        <w:numPr>
          <w:ilvl w:val="0"/>
          <w:numId w:val="13"/>
        </w:numPr>
        <w:spacing w:before="0" w:beforeAutospacing="0" w:after="0" w:afterAutospacing="0"/>
      </w:pPr>
      <w:r>
        <w:t>and exploring uncertainty.</w:t>
      </w:r>
    </w:p>
    <w:p w:rsidR="00EA621A" w:rsidP="00EA621A" w:rsidRDefault="00EA621A" w14:paraId="476C5EE3" w14:textId="77777777">
      <w:pPr>
        <w:pStyle w:val="NormalWeb"/>
        <w:spacing w:before="0" w:beforeAutospacing="0" w:after="0" w:afterAutospacing="0"/>
      </w:pPr>
      <w:r>
        <w:t>Students benefit when facilitators encourage them to:</w:t>
      </w:r>
    </w:p>
    <w:p w:rsidR="00EA621A" w:rsidP="00EA621A" w:rsidRDefault="00EA621A" w14:paraId="23810D13" w14:textId="77777777">
      <w:pPr>
        <w:pStyle w:val="NormalWeb"/>
        <w:spacing w:before="0" w:beforeAutospacing="0" w:after="0" w:afterAutospacing="0"/>
      </w:pPr>
    </w:p>
    <w:p w:rsidR="00EA621A" w:rsidP="00EA621A" w:rsidRDefault="00EA621A" w14:paraId="28DF46E1" w14:textId="77777777">
      <w:pPr>
        <w:pStyle w:val="NormalWeb"/>
        <w:numPr>
          <w:ilvl w:val="0"/>
          <w:numId w:val="14"/>
        </w:numPr>
        <w:spacing w:before="0" w:beforeAutospacing="0" w:after="0" w:afterAutospacing="0"/>
      </w:pPr>
      <w:r>
        <w:t>explain their reasoning,</w:t>
      </w:r>
    </w:p>
    <w:p w:rsidR="00EA621A" w:rsidP="00EA621A" w:rsidRDefault="00EA621A" w14:paraId="18AEE954" w14:textId="77777777">
      <w:pPr>
        <w:pStyle w:val="NormalWeb"/>
        <w:numPr>
          <w:ilvl w:val="0"/>
          <w:numId w:val="14"/>
        </w:numPr>
        <w:spacing w:before="0" w:beforeAutospacing="0" w:after="0" w:afterAutospacing="0"/>
      </w:pPr>
      <w:proofErr w:type="gramStart"/>
      <w:r>
        <w:t>compare</w:t>
      </w:r>
      <w:proofErr w:type="gramEnd"/>
      <w:r>
        <w:t xml:space="preserve"> diagnoses,</w:t>
      </w:r>
    </w:p>
    <w:p w:rsidR="00EA621A" w:rsidP="00EA621A" w:rsidRDefault="00EA621A" w14:paraId="0939E8DA" w14:textId="77777777">
      <w:pPr>
        <w:pStyle w:val="NormalWeb"/>
        <w:numPr>
          <w:ilvl w:val="0"/>
          <w:numId w:val="14"/>
        </w:numPr>
        <w:spacing w:after="0"/>
      </w:pPr>
      <w:r>
        <w:t>and identify what information is still missing.</w:t>
      </w:r>
    </w:p>
    <w:p w:rsidRPr="003D16E5" w:rsidR="003D16E5" w:rsidP="00EA621A" w:rsidRDefault="00EA621A" w14:paraId="73544430" w14:textId="4CB6CD45">
      <w:pPr>
        <w:pStyle w:val="NormalWeb"/>
        <w:spacing w:before="0" w:beforeAutospacing="0" w:after="0" w:afterAutospacing="0"/>
      </w:pPr>
      <w:r>
        <w:t>Facilitators do not need to provide immediate answers. Often, the most valuable discussions come from helping students continue working through the case.</w:t>
      </w:r>
    </w:p>
    <w:sectPr w:rsidRPr="003D16E5" w:rsidR="003D16E5" w:rsidSect="00EA621A">
      <w:pgSz w:w="12240" w:h="15840" w:orient="portrait"/>
      <w:pgMar w:top="45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580B" w:rsidP="003D16E5" w:rsidRDefault="0048580B" w14:paraId="646154E3" w14:textId="77777777">
      <w:pPr>
        <w:spacing w:after="0" w:line="240" w:lineRule="auto"/>
      </w:pPr>
      <w:r>
        <w:separator/>
      </w:r>
    </w:p>
  </w:endnote>
  <w:endnote w:type="continuationSeparator" w:id="0">
    <w:p w:rsidR="0048580B" w:rsidP="003D16E5" w:rsidRDefault="0048580B" w14:paraId="4C72E3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580B" w:rsidP="003D16E5" w:rsidRDefault="0048580B" w14:paraId="613F6A23" w14:textId="77777777">
      <w:pPr>
        <w:spacing w:after="0" w:line="240" w:lineRule="auto"/>
      </w:pPr>
      <w:r>
        <w:separator/>
      </w:r>
    </w:p>
  </w:footnote>
  <w:footnote w:type="continuationSeparator" w:id="0">
    <w:p w:rsidR="0048580B" w:rsidP="003D16E5" w:rsidRDefault="0048580B" w14:paraId="653989C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7598"/>
    <w:multiLevelType w:val="hybridMultilevel"/>
    <w:tmpl w:val="1A489F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6D12F19"/>
    <w:multiLevelType w:val="hybridMultilevel"/>
    <w:tmpl w:val="3AB811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A2F6146"/>
    <w:multiLevelType w:val="hybridMultilevel"/>
    <w:tmpl w:val="EB362F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B626868"/>
    <w:multiLevelType w:val="hybridMultilevel"/>
    <w:tmpl w:val="3D8692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4AA733E"/>
    <w:multiLevelType w:val="multilevel"/>
    <w:tmpl w:val="54BE5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CA2719A"/>
    <w:multiLevelType w:val="multilevel"/>
    <w:tmpl w:val="54BE5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ED85161"/>
    <w:multiLevelType w:val="multilevel"/>
    <w:tmpl w:val="54BE5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34E3B81"/>
    <w:multiLevelType w:val="hybridMultilevel"/>
    <w:tmpl w:val="1BE8ED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03264BB"/>
    <w:multiLevelType w:val="hybridMultilevel"/>
    <w:tmpl w:val="5BA2DB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46E53F8"/>
    <w:multiLevelType w:val="hybridMultilevel"/>
    <w:tmpl w:val="4D5AE4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61F6FFC"/>
    <w:multiLevelType w:val="multilevel"/>
    <w:tmpl w:val="54BE5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8CE6BDB"/>
    <w:multiLevelType w:val="hybridMultilevel"/>
    <w:tmpl w:val="EC82FB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B04407A"/>
    <w:multiLevelType w:val="multilevel"/>
    <w:tmpl w:val="54BE5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D4D35CE"/>
    <w:multiLevelType w:val="multilevel"/>
    <w:tmpl w:val="54BE5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619876740">
    <w:abstractNumId w:val="5"/>
  </w:num>
  <w:num w:numId="2" w16cid:durableId="1901087214">
    <w:abstractNumId w:val="4"/>
  </w:num>
  <w:num w:numId="3" w16cid:durableId="1618367872">
    <w:abstractNumId w:val="13"/>
  </w:num>
  <w:num w:numId="4" w16cid:durableId="1906332461">
    <w:abstractNumId w:val="10"/>
  </w:num>
  <w:num w:numId="5" w16cid:durableId="1498182260">
    <w:abstractNumId w:val="12"/>
  </w:num>
  <w:num w:numId="6" w16cid:durableId="986596152">
    <w:abstractNumId w:val="6"/>
  </w:num>
  <w:num w:numId="7" w16cid:durableId="1997606120">
    <w:abstractNumId w:val="7"/>
  </w:num>
  <w:num w:numId="8" w16cid:durableId="1545756044">
    <w:abstractNumId w:val="0"/>
  </w:num>
  <w:num w:numId="9" w16cid:durableId="1126123184">
    <w:abstractNumId w:val="1"/>
  </w:num>
  <w:num w:numId="10" w16cid:durableId="1017342728">
    <w:abstractNumId w:val="8"/>
  </w:num>
  <w:num w:numId="11" w16cid:durableId="677663014">
    <w:abstractNumId w:val="11"/>
  </w:num>
  <w:num w:numId="12" w16cid:durableId="578757300">
    <w:abstractNumId w:val="2"/>
  </w:num>
  <w:num w:numId="13" w16cid:durableId="1297645431">
    <w:abstractNumId w:val="9"/>
  </w:num>
  <w:num w:numId="14" w16cid:durableId="341904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6E5"/>
    <w:rsid w:val="000338D2"/>
    <w:rsid w:val="000A6860"/>
    <w:rsid w:val="000F341D"/>
    <w:rsid w:val="0014138F"/>
    <w:rsid w:val="00191B68"/>
    <w:rsid w:val="002C3089"/>
    <w:rsid w:val="003551CB"/>
    <w:rsid w:val="003D16E5"/>
    <w:rsid w:val="00454671"/>
    <w:rsid w:val="0048580B"/>
    <w:rsid w:val="006601DD"/>
    <w:rsid w:val="00666573"/>
    <w:rsid w:val="008B7EC9"/>
    <w:rsid w:val="009619A9"/>
    <w:rsid w:val="009C50FF"/>
    <w:rsid w:val="00E174C2"/>
    <w:rsid w:val="00E71AF5"/>
    <w:rsid w:val="00EA621A"/>
    <w:rsid w:val="00EC58A6"/>
    <w:rsid w:val="00FC6B89"/>
    <w:rsid w:val="0994C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7570E"/>
  <w15:chartTrackingRefBased/>
  <w15:docId w15:val="{B2362DA0-1D2F-48A9-A060-F3BC51870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D16E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16E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16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6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6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6E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D16E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3D16E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3D16E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D16E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D16E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D16E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D16E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D16E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D16E5"/>
    <w:rPr>
      <w:rFonts w:eastAsiaTheme="majorEastAsia" w:cstheme="majorBidi"/>
      <w:color w:val="272727" w:themeColor="text1" w:themeTint="D8"/>
    </w:rPr>
  </w:style>
  <w:style w:type="paragraph" w:styleId="Title">
    <w:name w:val="Title"/>
    <w:basedOn w:val="Normal"/>
    <w:next w:val="Normal"/>
    <w:link w:val="TitleChar"/>
    <w:uiPriority w:val="10"/>
    <w:qFormat/>
    <w:rsid w:val="003D16E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D16E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D16E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D1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6E5"/>
    <w:pPr>
      <w:spacing w:before="160"/>
      <w:jc w:val="center"/>
    </w:pPr>
    <w:rPr>
      <w:i/>
      <w:iCs/>
      <w:color w:val="404040" w:themeColor="text1" w:themeTint="BF"/>
    </w:rPr>
  </w:style>
  <w:style w:type="character" w:styleId="QuoteChar" w:customStyle="1">
    <w:name w:val="Quote Char"/>
    <w:basedOn w:val="DefaultParagraphFont"/>
    <w:link w:val="Quote"/>
    <w:uiPriority w:val="29"/>
    <w:rsid w:val="003D16E5"/>
    <w:rPr>
      <w:i/>
      <w:iCs/>
      <w:color w:val="404040" w:themeColor="text1" w:themeTint="BF"/>
    </w:rPr>
  </w:style>
  <w:style w:type="paragraph" w:styleId="ListParagraph">
    <w:name w:val="List Paragraph"/>
    <w:basedOn w:val="Normal"/>
    <w:uiPriority w:val="34"/>
    <w:qFormat/>
    <w:rsid w:val="003D16E5"/>
    <w:pPr>
      <w:ind w:left="720"/>
      <w:contextualSpacing/>
    </w:pPr>
  </w:style>
  <w:style w:type="character" w:styleId="IntenseEmphasis">
    <w:name w:val="Intense Emphasis"/>
    <w:basedOn w:val="DefaultParagraphFont"/>
    <w:uiPriority w:val="21"/>
    <w:qFormat/>
    <w:rsid w:val="003D16E5"/>
    <w:rPr>
      <w:i/>
      <w:iCs/>
      <w:color w:val="0F4761" w:themeColor="accent1" w:themeShade="BF"/>
    </w:rPr>
  </w:style>
  <w:style w:type="paragraph" w:styleId="IntenseQuote">
    <w:name w:val="Intense Quote"/>
    <w:basedOn w:val="Normal"/>
    <w:next w:val="Normal"/>
    <w:link w:val="IntenseQuoteChar"/>
    <w:uiPriority w:val="30"/>
    <w:qFormat/>
    <w:rsid w:val="003D16E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D16E5"/>
    <w:rPr>
      <w:i/>
      <w:iCs/>
      <w:color w:val="0F4761" w:themeColor="accent1" w:themeShade="BF"/>
    </w:rPr>
  </w:style>
  <w:style w:type="character" w:styleId="IntenseReference">
    <w:name w:val="Intense Reference"/>
    <w:basedOn w:val="DefaultParagraphFont"/>
    <w:uiPriority w:val="32"/>
    <w:qFormat/>
    <w:rsid w:val="003D16E5"/>
    <w:rPr>
      <w:b/>
      <w:bCs/>
      <w:smallCaps/>
      <w:color w:val="0F4761" w:themeColor="accent1" w:themeShade="BF"/>
      <w:spacing w:val="5"/>
    </w:rPr>
  </w:style>
  <w:style w:type="character" w:styleId="Hyperlink">
    <w:name w:val="Hyperlink"/>
    <w:basedOn w:val="DefaultParagraphFont"/>
    <w:uiPriority w:val="99"/>
    <w:semiHidden/>
    <w:unhideWhenUsed/>
    <w:rsid w:val="003D16E5"/>
    <w:rPr>
      <w:color w:val="0000FF"/>
      <w:u w:val="single"/>
    </w:rPr>
  </w:style>
  <w:style w:type="paragraph" w:styleId="Header">
    <w:name w:val="header"/>
    <w:basedOn w:val="Normal"/>
    <w:link w:val="HeaderChar"/>
    <w:uiPriority w:val="99"/>
    <w:unhideWhenUsed/>
    <w:rsid w:val="003D16E5"/>
    <w:pPr>
      <w:tabs>
        <w:tab w:val="center" w:pos="4680"/>
        <w:tab w:val="right" w:pos="9360"/>
      </w:tabs>
      <w:spacing w:after="0" w:line="240" w:lineRule="auto"/>
    </w:pPr>
  </w:style>
  <w:style w:type="character" w:styleId="HeaderChar" w:customStyle="1">
    <w:name w:val="Header Char"/>
    <w:basedOn w:val="DefaultParagraphFont"/>
    <w:link w:val="Header"/>
    <w:uiPriority w:val="99"/>
    <w:rsid w:val="003D16E5"/>
  </w:style>
  <w:style w:type="paragraph" w:styleId="Footer">
    <w:name w:val="footer"/>
    <w:basedOn w:val="Normal"/>
    <w:link w:val="FooterChar"/>
    <w:uiPriority w:val="99"/>
    <w:unhideWhenUsed/>
    <w:rsid w:val="003D16E5"/>
    <w:pPr>
      <w:tabs>
        <w:tab w:val="center" w:pos="4680"/>
        <w:tab w:val="right" w:pos="9360"/>
      </w:tabs>
      <w:spacing w:after="0" w:line="240" w:lineRule="auto"/>
    </w:pPr>
  </w:style>
  <w:style w:type="character" w:styleId="FooterChar" w:customStyle="1">
    <w:name w:val="Footer Char"/>
    <w:basedOn w:val="DefaultParagraphFont"/>
    <w:link w:val="Footer"/>
    <w:uiPriority w:val="99"/>
    <w:rsid w:val="003D16E5"/>
  </w:style>
  <w:style w:type="paragraph" w:styleId="NormalWeb">
    <w:name w:val="Normal (Web)"/>
    <w:basedOn w:val="Normal"/>
    <w:uiPriority w:val="99"/>
    <w:unhideWhenUsed/>
    <w:rsid w:val="003D16E5"/>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Emphasis">
    <w:name w:val="Emphasis"/>
    <w:basedOn w:val="DefaultParagraphFont"/>
    <w:uiPriority w:val="20"/>
    <w:qFormat/>
    <w:rsid w:val="000F34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0600">
      <w:bodyDiv w:val="1"/>
      <w:marLeft w:val="0"/>
      <w:marRight w:val="0"/>
      <w:marTop w:val="0"/>
      <w:marBottom w:val="0"/>
      <w:divBdr>
        <w:top w:val="none" w:sz="0" w:space="0" w:color="auto"/>
        <w:left w:val="none" w:sz="0" w:space="0" w:color="auto"/>
        <w:bottom w:val="none" w:sz="0" w:space="0" w:color="auto"/>
        <w:right w:val="none" w:sz="0" w:space="0" w:color="auto"/>
      </w:divBdr>
      <w:divsChild>
        <w:div w:id="1499273354">
          <w:marLeft w:val="480"/>
          <w:marRight w:val="0"/>
          <w:marTop w:val="0"/>
          <w:marBottom w:val="0"/>
          <w:divBdr>
            <w:top w:val="none" w:sz="0" w:space="0" w:color="auto"/>
            <w:left w:val="none" w:sz="0" w:space="0" w:color="auto"/>
            <w:bottom w:val="none" w:sz="0" w:space="0" w:color="auto"/>
            <w:right w:val="none" w:sz="0" w:space="0" w:color="auto"/>
          </w:divBdr>
          <w:divsChild>
            <w:div w:id="8202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1801">
      <w:bodyDiv w:val="1"/>
      <w:marLeft w:val="0"/>
      <w:marRight w:val="0"/>
      <w:marTop w:val="0"/>
      <w:marBottom w:val="0"/>
      <w:divBdr>
        <w:top w:val="none" w:sz="0" w:space="0" w:color="auto"/>
        <w:left w:val="none" w:sz="0" w:space="0" w:color="auto"/>
        <w:bottom w:val="none" w:sz="0" w:space="0" w:color="auto"/>
        <w:right w:val="none" w:sz="0" w:space="0" w:color="auto"/>
      </w:divBdr>
    </w:div>
    <w:div w:id="466363329">
      <w:bodyDiv w:val="1"/>
      <w:marLeft w:val="0"/>
      <w:marRight w:val="0"/>
      <w:marTop w:val="0"/>
      <w:marBottom w:val="0"/>
      <w:divBdr>
        <w:top w:val="none" w:sz="0" w:space="0" w:color="auto"/>
        <w:left w:val="none" w:sz="0" w:space="0" w:color="auto"/>
        <w:bottom w:val="none" w:sz="0" w:space="0" w:color="auto"/>
        <w:right w:val="none" w:sz="0" w:space="0" w:color="auto"/>
      </w:divBdr>
      <w:divsChild>
        <w:div w:id="1303773575">
          <w:marLeft w:val="480"/>
          <w:marRight w:val="0"/>
          <w:marTop w:val="0"/>
          <w:marBottom w:val="0"/>
          <w:divBdr>
            <w:top w:val="none" w:sz="0" w:space="0" w:color="auto"/>
            <w:left w:val="none" w:sz="0" w:space="0" w:color="auto"/>
            <w:bottom w:val="none" w:sz="0" w:space="0" w:color="auto"/>
            <w:right w:val="none" w:sz="0" w:space="0" w:color="auto"/>
          </w:divBdr>
          <w:divsChild>
            <w:div w:id="11643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56220">
      <w:bodyDiv w:val="1"/>
      <w:marLeft w:val="0"/>
      <w:marRight w:val="0"/>
      <w:marTop w:val="0"/>
      <w:marBottom w:val="0"/>
      <w:divBdr>
        <w:top w:val="none" w:sz="0" w:space="0" w:color="auto"/>
        <w:left w:val="none" w:sz="0" w:space="0" w:color="auto"/>
        <w:bottom w:val="none" w:sz="0" w:space="0" w:color="auto"/>
        <w:right w:val="none" w:sz="0" w:space="0" w:color="auto"/>
      </w:divBdr>
    </w:div>
    <w:div w:id="1336104723">
      <w:bodyDiv w:val="1"/>
      <w:marLeft w:val="0"/>
      <w:marRight w:val="0"/>
      <w:marTop w:val="0"/>
      <w:marBottom w:val="0"/>
      <w:divBdr>
        <w:top w:val="none" w:sz="0" w:space="0" w:color="auto"/>
        <w:left w:val="none" w:sz="0" w:space="0" w:color="auto"/>
        <w:bottom w:val="none" w:sz="0" w:space="0" w:color="auto"/>
        <w:right w:val="none" w:sz="0" w:space="0" w:color="auto"/>
      </w:divBdr>
    </w:div>
    <w:div w:id="1732268252">
      <w:bodyDiv w:val="1"/>
      <w:marLeft w:val="0"/>
      <w:marRight w:val="0"/>
      <w:marTop w:val="0"/>
      <w:marBottom w:val="0"/>
      <w:divBdr>
        <w:top w:val="none" w:sz="0" w:space="0" w:color="auto"/>
        <w:left w:val="none" w:sz="0" w:space="0" w:color="auto"/>
        <w:bottom w:val="none" w:sz="0" w:space="0" w:color="auto"/>
        <w:right w:val="none" w:sz="0" w:space="0" w:color="auto"/>
      </w:divBdr>
    </w:div>
    <w:div w:id="2089842355">
      <w:bodyDiv w:val="1"/>
      <w:marLeft w:val="0"/>
      <w:marRight w:val="0"/>
      <w:marTop w:val="0"/>
      <w:marBottom w:val="0"/>
      <w:divBdr>
        <w:top w:val="none" w:sz="0" w:space="0" w:color="auto"/>
        <w:left w:val="none" w:sz="0" w:space="0" w:color="auto"/>
        <w:bottom w:val="none" w:sz="0" w:space="0" w:color="auto"/>
        <w:right w:val="none" w:sz="0" w:space="0" w:color="auto"/>
      </w:divBdr>
      <w:divsChild>
        <w:div w:id="1592161335">
          <w:blockQuote w:val="1"/>
          <w:marLeft w:val="720"/>
          <w:marRight w:val="720"/>
          <w:marTop w:val="100"/>
          <w:marBottom w:val="100"/>
          <w:divBdr>
            <w:top w:val="none" w:sz="0" w:space="0" w:color="auto"/>
            <w:left w:val="none" w:sz="0" w:space="0" w:color="auto"/>
            <w:bottom w:val="none" w:sz="0" w:space="0" w:color="auto"/>
            <w:right w:val="none" w:sz="0" w:space="0" w:color="auto"/>
          </w:divBdr>
        </w:div>
        <w:div w:id="8879115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034144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124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oi.org/10.1056/NEJMra054782" TargetMode="Externa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doi.org/10.1056/NEJMra054782"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657F3103844844A6882CB6234AC8C1" ma:contentTypeVersion="18" ma:contentTypeDescription="Create a new document." ma:contentTypeScope="" ma:versionID="04a99f33eb748db6434f0a61fdfeeeed">
  <xsd:schema xmlns:xsd="http://www.w3.org/2001/XMLSchema" xmlns:xs="http://www.w3.org/2001/XMLSchema" xmlns:p="http://schemas.microsoft.com/office/2006/metadata/properties" xmlns:ns2="78650903-82f5-4202-8686-8e7a0181101e" xmlns:ns3="356f5a17-67dd-40f0-ad85-74616fe22a32" targetNamespace="http://schemas.microsoft.com/office/2006/metadata/properties" ma:root="true" ma:fieldsID="01961b92254f2309a072a7415d9c0ce6" ns2:_="" ns3:_="">
    <xsd:import namespace="78650903-82f5-4202-8686-8e7a0181101e"/>
    <xsd:import namespace="356f5a17-67dd-40f0-ad85-74616fe22a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50903-82f5-4202-8686-8e7a018110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1da502c-7e40-4002-9fa7-8e5645d13f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6f5a17-67dd-40f0-ad85-74616fe22a3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5af3f1d-c059-4302-943d-6470a634da19}" ma:internalName="TaxCatchAll" ma:showField="CatchAllData" ma:web="356f5a17-67dd-40f0-ad85-74616fe22a3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650903-82f5-4202-8686-8e7a0181101e">
      <Terms xmlns="http://schemas.microsoft.com/office/infopath/2007/PartnerControls"/>
    </lcf76f155ced4ddcb4097134ff3c332f>
    <TaxCatchAll xmlns="356f5a17-67dd-40f0-ad85-74616fe22a32" xsi:nil="true"/>
  </documentManagement>
</p:properties>
</file>

<file path=customXml/itemProps1.xml><?xml version="1.0" encoding="utf-8"?>
<ds:datastoreItem xmlns:ds="http://schemas.openxmlformats.org/officeDocument/2006/customXml" ds:itemID="{14E16BE5-44B1-4D64-97F9-5579EE7E3D13}"/>
</file>

<file path=customXml/itemProps2.xml><?xml version="1.0" encoding="utf-8"?>
<ds:datastoreItem xmlns:ds="http://schemas.openxmlformats.org/officeDocument/2006/customXml" ds:itemID="{99A4C04C-ED2E-489F-B3F4-818986DFB64E}"/>
</file>

<file path=customXml/itemProps3.xml><?xml version="1.0" encoding="utf-8"?>
<ds:datastoreItem xmlns:ds="http://schemas.openxmlformats.org/officeDocument/2006/customXml" ds:itemID="{B9EDD2C9-4AC3-44F6-BD30-BB84888563E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Halsey, Rachel Marie Lorenzen</dc:creator>
  <cp:keywords/>
  <dc:description/>
  <cp:lastModifiedBy>Halsey, Rachel Marie Lorenzen</cp:lastModifiedBy>
  <cp:revision>11</cp:revision>
  <dcterms:created xsi:type="dcterms:W3CDTF">2026-05-14T00:17:00Z</dcterms:created>
  <dcterms:modified xsi:type="dcterms:W3CDTF">2026-06-03T17:35:44Z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bea7581b-6e7f-4cab-a7e1-d603bcd7b7a8</vt:lpwstr>
  </property>
  <property fmtid="{D5CDD505-2E9C-101B-9397-08002B2CF9AE}" pid="3" name="ContentTypeId">
    <vt:lpwstr>0x01010036657F3103844844A6882CB6234AC8C1</vt:lpwstr>
  </property>
  <property fmtid="{D5CDD505-2E9C-101B-9397-08002B2CF9AE}" pid="4" name="MediaServiceImageTags">
    <vt:lpwstr/>
  </property>
</Properties>
</file>