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6E1AA" w14:textId="702F63EB" w:rsidR="008342BC" w:rsidRDefault="00FB160C" w:rsidP="008342BC">
      <w:pPr>
        <w:spacing w:before="100" w:beforeAutospacing="1" w:after="100" w:afterAutospacing="1"/>
        <w:outlineLvl w:val="2"/>
        <w:rPr>
          <w:b/>
          <w:bCs/>
          <w:sz w:val="36"/>
          <w:szCs w:val="36"/>
        </w:rPr>
      </w:pPr>
      <w:r>
        <w:rPr>
          <w:b/>
          <w:bCs/>
          <w:noProof/>
          <w:color w:val="C00000"/>
        </w:rPr>
        <w:drawing>
          <wp:anchor distT="0" distB="0" distL="114300" distR="114300" simplePos="0" relativeHeight="251660288" behindDoc="1" locked="0" layoutInCell="1" allowOverlap="1" wp14:anchorId="06C0C921" wp14:editId="3A6DB7B4">
            <wp:simplePos x="0" y="0"/>
            <wp:positionH relativeFrom="column">
              <wp:posOffset>5638800</wp:posOffset>
            </wp:positionH>
            <wp:positionV relativeFrom="paragraph">
              <wp:posOffset>-123190</wp:posOffset>
            </wp:positionV>
            <wp:extent cx="957620" cy="800100"/>
            <wp:effectExtent l="0" t="0" r="0" b="0"/>
            <wp:wrapNone/>
            <wp:docPr id="292445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6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2BC" w:rsidRPr="008342BC">
        <w:rPr>
          <w:b/>
          <w:bCs/>
          <w:sz w:val="36"/>
          <w:szCs w:val="36"/>
        </w:rPr>
        <w:t>One-Minute Preceptor in the DC</w:t>
      </w:r>
    </w:p>
    <w:p w14:paraId="20354801" w14:textId="651FE8E4" w:rsidR="008342BC" w:rsidRPr="003D16E5" w:rsidRDefault="008342BC" w:rsidP="008342B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E7950">
        <w:rPr>
          <w:b/>
          <w:bCs/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F66E22" wp14:editId="469E3C1D">
                <wp:simplePos x="0" y="0"/>
                <wp:positionH relativeFrom="column">
                  <wp:posOffset>-238125</wp:posOffset>
                </wp:positionH>
                <wp:positionV relativeFrom="paragraph">
                  <wp:posOffset>349885</wp:posOffset>
                </wp:positionV>
                <wp:extent cx="6134100" cy="7524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52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0C0F4" w14:textId="5AB6C8A7" w:rsidR="008342BC" w:rsidRDefault="008342BC" w:rsidP="008342BC">
                            <w:pPr>
                              <w:ind w:left="630" w:hanging="630"/>
                            </w:pPr>
                            <w:r w:rsidRPr="008342BC">
                              <w:t>Neher, J. O., Gordon, K. C., Meyer, B., &amp; Stevens, N. (1992). A Five-Step “</w:t>
                            </w:r>
                            <w:proofErr w:type="spellStart"/>
                            <w:r w:rsidRPr="008342BC">
                              <w:t>Microskills</w:t>
                            </w:r>
                            <w:proofErr w:type="spellEnd"/>
                            <w:r w:rsidRPr="008342BC">
                              <w:t xml:space="preserve">” Model </w:t>
                            </w:r>
                            <w:proofErr w:type="gramStart"/>
                            <w:r w:rsidRPr="008342BC">
                              <w:t>Of</w:t>
                            </w:r>
                            <w:proofErr w:type="gramEnd"/>
                            <w:r w:rsidRPr="008342BC">
                              <w:t xml:space="preserve"> Clinical Teaching. The Journal of the American Board of Family Practice, 5(4), 419–424. </w:t>
                            </w:r>
                            <w:hyperlink r:id="rId6" w:history="1">
                              <w:r w:rsidRPr="00A459E9">
                                <w:rPr>
                                  <w:rStyle w:val="Hyperlink"/>
                                </w:rPr>
                                <w:t>https://doi.org/10.3122/jabfm.5.4.419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66E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75pt;margin-top:27.55pt;width:483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" fillcolor="#e8e8e8 [3214]">
                <v:textbox>
                  <w:txbxContent>
                    <w:p w14:paraId="19D0C0F4" w14:textId="5AB6C8A7" w:rsidR="008342BC" w:rsidRDefault="008342BC" w:rsidP="008342BC">
                      <w:pPr>
                        <w:ind w:left="630" w:hanging="630"/>
                      </w:pPr>
                      <w:r w:rsidRPr="008342BC">
                        <w:t>Neher, J. O., Gordon, K. C., Meyer, B., &amp; Stevens, N. (1992). A Five-Step “</w:t>
                      </w:r>
                      <w:proofErr w:type="spellStart"/>
                      <w:r w:rsidRPr="008342BC">
                        <w:t>Microskills</w:t>
                      </w:r>
                      <w:proofErr w:type="spellEnd"/>
                      <w:r w:rsidRPr="008342BC">
                        <w:t xml:space="preserve">” Model </w:t>
                      </w:r>
                      <w:proofErr w:type="gramStart"/>
                      <w:r w:rsidRPr="008342BC">
                        <w:t>Of</w:t>
                      </w:r>
                      <w:proofErr w:type="gramEnd"/>
                      <w:r w:rsidRPr="008342BC">
                        <w:t xml:space="preserve"> Clinical Teaching. The Journal of the American Board of Family Practice, 5(4), 419–424. </w:t>
                      </w:r>
                      <w:hyperlink r:id="rId7" w:history="1">
                        <w:r w:rsidRPr="00A459E9">
                          <w:rPr>
                            <w:rStyle w:val="Hyperlink"/>
                          </w:rPr>
                          <w:t>https://doi.org/10.3122/jabfm.5.4.419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7950">
        <w:rPr>
          <w:b/>
          <w:bCs/>
          <w:noProof/>
          <w:sz w:val="27"/>
          <w:szCs w:val="27"/>
        </w:rPr>
        <w:t xml:space="preserve">Practical </w:t>
      </w:r>
      <w:r>
        <w:rPr>
          <w:b/>
          <w:bCs/>
          <w:noProof/>
          <w:sz w:val="27"/>
          <w:szCs w:val="27"/>
        </w:rPr>
        <w:t>Applications for</w:t>
      </w:r>
      <w:r w:rsidRPr="008E7950">
        <w:rPr>
          <w:b/>
          <w:bCs/>
          <w:noProof/>
          <w:sz w:val="27"/>
          <w:szCs w:val="27"/>
        </w:rPr>
        <w:t xml:space="preserve"> DC Facilitators</w:t>
      </w:r>
      <w:r w:rsidRPr="008E7950">
        <w:rPr>
          <w:b/>
          <w:bCs/>
          <w:sz w:val="28"/>
          <w:szCs w:val="28"/>
        </w:rPr>
        <w:t xml:space="preserve"> </w:t>
      </w:r>
      <w:r>
        <w:rPr>
          <w:b/>
          <w:bCs/>
          <w:sz w:val="27"/>
          <w:szCs w:val="27"/>
        </w:rPr>
        <w:t>From:</w:t>
      </w:r>
    </w:p>
    <w:p w14:paraId="6743AE6F" w14:textId="0D7F8574" w:rsidR="008342BC" w:rsidRPr="008342BC" w:rsidRDefault="008342BC" w:rsidP="008342BC">
      <w:pPr>
        <w:spacing w:after="160" w:line="278" w:lineRule="auto"/>
      </w:pPr>
      <w:r w:rsidRPr="008342BC">
        <w:rPr>
          <w:b/>
          <w:bCs/>
          <w:color w:val="C00000"/>
        </w:rPr>
        <w:t>The Goal</w:t>
      </w:r>
      <w:r>
        <w:rPr>
          <w:b/>
          <w:bCs/>
          <w:color w:val="C00000"/>
          <w:sz w:val="28"/>
          <w:szCs w:val="28"/>
        </w:rPr>
        <w:t xml:space="preserve">: </w:t>
      </w:r>
      <w:r w:rsidRPr="008342BC">
        <w:t>The One-Minute Preceptor is not about giving students the answer quickly.</w:t>
      </w:r>
    </w:p>
    <w:p w14:paraId="2A87BD8E" w14:textId="71074D81" w:rsidR="008342BC" w:rsidRPr="008342BC" w:rsidRDefault="008342BC" w:rsidP="008342BC">
      <w:r w:rsidRPr="008342BC">
        <w:t>It is a framework for:</w:t>
      </w:r>
    </w:p>
    <w:p w14:paraId="347FB346" w14:textId="12436397" w:rsidR="008342BC" w:rsidRPr="008342BC" w:rsidRDefault="008342BC" w:rsidP="008342BC">
      <w:pPr>
        <w:numPr>
          <w:ilvl w:val="0"/>
          <w:numId w:val="1"/>
        </w:numPr>
      </w:pPr>
      <w:r w:rsidRPr="008342BC">
        <w:t xml:space="preserve">guiding discussion, </w:t>
      </w:r>
    </w:p>
    <w:p w14:paraId="220D513C" w14:textId="6A8CC243" w:rsidR="008342BC" w:rsidRPr="008342BC" w:rsidRDefault="008342BC" w:rsidP="008342BC">
      <w:pPr>
        <w:numPr>
          <w:ilvl w:val="0"/>
          <w:numId w:val="1"/>
        </w:numPr>
        <w:spacing w:before="100" w:beforeAutospacing="1" w:after="100" w:afterAutospacing="1"/>
      </w:pPr>
      <w:r w:rsidRPr="008342BC">
        <w:t xml:space="preserve">exploring reasoning, </w:t>
      </w:r>
    </w:p>
    <w:p w14:paraId="73F2253D" w14:textId="77777777" w:rsidR="008342BC" w:rsidRPr="008342BC" w:rsidRDefault="008342BC" w:rsidP="008342BC">
      <w:pPr>
        <w:numPr>
          <w:ilvl w:val="0"/>
          <w:numId w:val="1"/>
        </w:numPr>
        <w:spacing w:before="100" w:beforeAutospacing="1" w:after="100" w:afterAutospacing="1"/>
      </w:pPr>
      <w:r w:rsidRPr="008342BC">
        <w:t xml:space="preserve">and helping students think through cases. </w:t>
      </w:r>
    </w:p>
    <w:p w14:paraId="2B8B8913" w14:textId="77777777" w:rsidR="008342BC" w:rsidRPr="008342BC" w:rsidRDefault="008342BC" w:rsidP="008342BC">
      <w:pPr>
        <w:spacing w:before="100" w:beforeAutospacing="1" w:after="100" w:afterAutospacing="1"/>
      </w:pPr>
      <w:r w:rsidRPr="008342BC">
        <w:t>Small facilitation choices can significantly influence the quality of student discussion and clinical reasoning.</w:t>
      </w:r>
    </w:p>
    <w:p w14:paraId="51FFCBD9" w14:textId="6204D617" w:rsidR="008342BC" w:rsidRDefault="008342BC" w:rsidP="008342BC">
      <w:pPr>
        <w:rPr>
          <w:b/>
          <w:bCs/>
          <w:color w:val="C00000"/>
        </w:rPr>
      </w:pPr>
      <w:r w:rsidRPr="008342BC">
        <w:rPr>
          <w:b/>
          <w:bCs/>
          <w:color w:val="C00000"/>
        </w:rPr>
        <w:t xml:space="preserve">The 5 </w:t>
      </w:r>
      <w:proofErr w:type="spellStart"/>
      <w:r w:rsidRPr="008342BC">
        <w:rPr>
          <w:b/>
          <w:bCs/>
          <w:color w:val="C00000"/>
        </w:rPr>
        <w:t>Microskills</w:t>
      </w:r>
      <w:proofErr w:type="spellEnd"/>
      <w:r w:rsidRPr="008342BC">
        <w:rPr>
          <w:b/>
          <w:bCs/>
          <w:color w:val="C00000"/>
        </w:rPr>
        <w:t xml:space="preserve"> in the DC:</w:t>
      </w:r>
    </w:p>
    <w:p w14:paraId="33808937" w14:textId="23231ED4" w:rsidR="00FB160C" w:rsidRPr="008342BC" w:rsidRDefault="00FB160C" w:rsidP="008342BC">
      <w:pPr>
        <w:rPr>
          <w:b/>
          <w:bCs/>
          <w:color w:val="C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342BC" w14:paraId="52F28512" w14:textId="77777777" w:rsidTr="008342BC">
        <w:tc>
          <w:tcPr>
            <w:tcW w:w="4675" w:type="dxa"/>
            <w:shd w:val="clear" w:color="auto" w:fill="000000" w:themeFill="text1"/>
          </w:tcPr>
          <w:p w14:paraId="3BC418C3" w14:textId="0AD32940" w:rsidR="008342BC" w:rsidRPr="008342BC" w:rsidRDefault="008342BC" w:rsidP="008342BC">
            <w:pPr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 w:rsidRPr="008342BC">
              <w:rPr>
                <w:b/>
                <w:bCs/>
                <w:color w:val="FFFFFF" w:themeColor="background1"/>
              </w:rPr>
              <w:t>Microskill</w:t>
            </w:r>
            <w:proofErr w:type="spellEnd"/>
          </w:p>
        </w:tc>
        <w:tc>
          <w:tcPr>
            <w:tcW w:w="4675" w:type="dxa"/>
            <w:shd w:val="clear" w:color="auto" w:fill="000000" w:themeFill="text1"/>
          </w:tcPr>
          <w:p w14:paraId="6CF6CBBA" w14:textId="3C0FAD9C" w:rsidR="008342BC" w:rsidRPr="008342BC" w:rsidRDefault="008342BC" w:rsidP="008342BC">
            <w:pPr>
              <w:jc w:val="center"/>
              <w:rPr>
                <w:b/>
                <w:bCs/>
                <w:color w:val="FFFFFF" w:themeColor="background1"/>
              </w:rPr>
            </w:pPr>
            <w:r w:rsidRPr="008342BC">
              <w:rPr>
                <w:b/>
                <w:bCs/>
                <w:color w:val="FFFFFF" w:themeColor="background1"/>
              </w:rPr>
              <w:t>What it Might Sound Like</w:t>
            </w:r>
          </w:p>
        </w:tc>
      </w:tr>
      <w:tr w:rsidR="008342BC" w14:paraId="3AE78FEB" w14:textId="77777777" w:rsidTr="008342BC">
        <w:tc>
          <w:tcPr>
            <w:tcW w:w="4675" w:type="dxa"/>
          </w:tcPr>
          <w:p w14:paraId="3CE7EFF6" w14:textId="21046665" w:rsidR="008342BC" w:rsidRPr="008342BC" w:rsidRDefault="008342BC" w:rsidP="008342B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8342BC">
              <w:rPr>
                <w:sz w:val="26"/>
                <w:szCs w:val="26"/>
              </w:rPr>
              <w:t>Get a Commitment</w:t>
            </w:r>
          </w:p>
        </w:tc>
        <w:tc>
          <w:tcPr>
            <w:tcW w:w="4675" w:type="dxa"/>
          </w:tcPr>
          <w:p w14:paraId="28ED83D7" w14:textId="0B73F5D8" w:rsidR="008342BC" w:rsidRPr="008342BC" w:rsidRDefault="008342BC">
            <w:r w:rsidRPr="008342BC">
              <w:t>“What is your top differential right now?”</w:t>
            </w:r>
          </w:p>
        </w:tc>
      </w:tr>
      <w:tr w:rsidR="008342BC" w14:paraId="4295F49A" w14:textId="77777777" w:rsidTr="008342BC">
        <w:tc>
          <w:tcPr>
            <w:tcW w:w="4675" w:type="dxa"/>
          </w:tcPr>
          <w:p w14:paraId="608908C7" w14:textId="02B3C290" w:rsidR="008342BC" w:rsidRPr="008342BC" w:rsidRDefault="008342BC" w:rsidP="008342B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8342BC">
              <w:rPr>
                <w:sz w:val="26"/>
                <w:szCs w:val="26"/>
              </w:rPr>
              <w:t>Probe for Supporting Evidenc</w:t>
            </w:r>
            <w:r w:rsidRPr="008342BC">
              <w:rPr>
                <w:sz w:val="26"/>
                <w:szCs w:val="26"/>
              </w:rPr>
              <w:t>e</w:t>
            </w:r>
          </w:p>
        </w:tc>
        <w:tc>
          <w:tcPr>
            <w:tcW w:w="4675" w:type="dxa"/>
          </w:tcPr>
          <w:p w14:paraId="0422B567" w14:textId="783A04DF" w:rsidR="008342BC" w:rsidRPr="008342BC" w:rsidRDefault="008342BC">
            <w:r w:rsidRPr="008342BC">
              <w:t>“What findings support that diagnosis?”</w:t>
            </w:r>
          </w:p>
        </w:tc>
      </w:tr>
      <w:tr w:rsidR="008342BC" w14:paraId="2E5E744B" w14:textId="77777777" w:rsidTr="008342BC">
        <w:tc>
          <w:tcPr>
            <w:tcW w:w="4675" w:type="dxa"/>
          </w:tcPr>
          <w:p w14:paraId="0DD59D07" w14:textId="64357EAB" w:rsidR="008342BC" w:rsidRPr="008342BC" w:rsidRDefault="008342BC" w:rsidP="008342B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</w:rPr>
            </w:pPr>
            <w:proofErr w:type="gramStart"/>
            <w:r w:rsidRPr="008342BC">
              <w:rPr>
                <w:sz w:val="26"/>
                <w:szCs w:val="26"/>
              </w:rPr>
              <w:t>Teach</w:t>
            </w:r>
            <w:proofErr w:type="gramEnd"/>
            <w:r w:rsidRPr="008342BC">
              <w:rPr>
                <w:sz w:val="26"/>
                <w:szCs w:val="26"/>
              </w:rPr>
              <w:t xml:space="preserve"> General Rules</w:t>
            </w:r>
          </w:p>
        </w:tc>
        <w:tc>
          <w:tcPr>
            <w:tcW w:w="4675" w:type="dxa"/>
          </w:tcPr>
          <w:p w14:paraId="56F5CA4B" w14:textId="18D37171" w:rsidR="008342BC" w:rsidRPr="008342BC" w:rsidRDefault="008342BC">
            <w:r w:rsidRPr="008342BC">
              <w:t>“In vomiting dogs, always consider…”</w:t>
            </w:r>
          </w:p>
        </w:tc>
      </w:tr>
      <w:tr w:rsidR="008342BC" w14:paraId="0EACBC22" w14:textId="77777777" w:rsidTr="008342BC">
        <w:tc>
          <w:tcPr>
            <w:tcW w:w="4675" w:type="dxa"/>
          </w:tcPr>
          <w:p w14:paraId="78A01AF0" w14:textId="1786C98A" w:rsidR="008342BC" w:rsidRPr="008342BC" w:rsidRDefault="008342BC" w:rsidP="008342B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8342BC">
              <w:rPr>
                <w:sz w:val="26"/>
                <w:szCs w:val="26"/>
              </w:rPr>
              <w:t>Reinforce What Was Done Well</w:t>
            </w:r>
          </w:p>
        </w:tc>
        <w:tc>
          <w:tcPr>
            <w:tcW w:w="4675" w:type="dxa"/>
          </w:tcPr>
          <w:p w14:paraId="31366425" w14:textId="05EF80FA" w:rsidR="008342BC" w:rsidRPr="008342BC" w:rsidRDefault="008342BC">
            <w:r w:rsidRPr="008342BC">
              <w:t>“Your differential list stayed appropriately broad.”</w:t>
            </w:r>
          </w:p>
        </w:tc>
      </w:tr>
      <w:tr w:rsidR="008342BC" w14:paraId="2B7F407E" w14:textId="77777777" w:rsidTr="008342BC">
        <w:tc>
          <w:tcPr>
            <w:tcW w:w="4675" w:type="dxa"/>
          </w:tcPr>
          <w:p w14:paraId="38B4CD11" w14:textId="548344AE" w:rsidR="008342BC" w:rsidRPr="008342BC" w:rsidRDefault="008342BC" w:rsidP="008342BC">
            <w:pPr>
              <w:pStyle w:val="ListParagraph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8342BC">
              <w:rPr>
                <w:sz w:val="26"/>
                <w:szCs w:val="26"/>
              </w:rPr>
              <w:t>Correct Mistakes</w:t>
            </w:r>
          </w:p>
        </w:tc>
        <w:tc>
          <w:tcPr>
            <w:tcW w:w="4675" w:type="dxa"/>
          </w:tcPr>
          <w:p w14:paraId="0B2BD461" w14:textId="1E18875E" w:rsidR="008342BC" w:rsidRPr="008342BC" w:rsidRDefault="008342BC">
            <w:r w:rsidRPr="008342BC">
              <w:t>“Let’s revisit what findings might not fit that diagnosis.”</w:t>
            </w:r>
          </w:p>
        </w:tc>
      </w:tr>
    </w:tbl>
    <w:p w14:paraId="242E0C14" w14:textId="77777777" w:rsidR="008342BC" w:rsidRDefault="008342BC"/>
    <w:p w14:paraId="2A017DA2" w14:textId="6A4D7835" w:rsidR="008342BC" w:rsidRPr="008342BC" w:rsidRDefault="008342BC" w:rsidP="008342BC">
      <w:pPr>
        <w:rPr>
          <w:b/>
          <w:bCs/>
          <w:color w:val="C00000"/>
        </w:rPr>
      </w:pPr>
      <w:r w:rsidRPr="008342BC">
        <w:rPr>
          <w:b/>
          <w:bCs/>
          <w:color w:val="C00000"/>
        </w:rPr>
        <w:t>Practical Tips for DC Facilitators</w:t>
      </w:r>
      <w:r w:rsidRPr="008342BC">
        <w:rPr>
          <w:b/>
          <w:bCs/>
          <w:color w:val="C00000"/>
        </w:rPr>
        <w:t>:</w:t>
      </w:r>
    </w:p>
    <w:p w14:paraId="4E3CB326" w14:textId="77777777" w:rsidR="008342BC" w:rsidRPr="008342BC" w:rsidRDefault="008342BC" w:rsidP="004A1054">
      <w:pPr>
        <w:pStyle w:val="ListParagraph"/>
        <w:numPr>
          <w:ilvl w:val="0"/>
          <w:numId w:val="4"/>
        </w:numPr>
        <w:spacing w:before="100" w:beforeAutospacing="1" w:after="100" w:afterAutospacing="1"/>
        <w:outlineLvl w:val="2"/>
        <w:rPr>
          <w:b/>
          <w:bCs/>
        </w:rPr>
      </w:pPr>
      <w:r w:rsidRPr="008342BC">
        <w:rPr>
          <w:b/>
          <w:bCs/>
        </w:rPr>
        <w:t>Avoid rescuing too quickly</w:t>
      </w:r>
      <w:r w:rsidRPr="008342BC">
        <w:rPr>
          <w:b/>
          <w:bCs/>
        </w:rPr>
        <w:t xml:space="preserve"> - </w:t>
      </w:r>
      <w:r w:rsidRPr="008342BC">
        <w:t>Students often learn more when they work through uncertainty.</w:t>
      </w:r>
    </w:p>
    <w:p w14:paraId="40CEBD78" w14:textId="2B5130E5" w:rsidR="008342BC" w:rsidRPr="008342BC" w:rsidRDefault="008342BC" w:rsidP="005A7891">
      <w:pPr>
        <w:pStyle w:val="ListParagraph"/>
        <w:numPr>
          <w:ilvl w:val="0"/>
          <w:numId w:val="4"/>
        </w:numPr>
        <w:spacing w:before="100" w:beforeAutospacing="1" w:after="100" w:afterAutospacing="1"/>
        <w:outlineLvl w:val="2"/>
      </w:pPr>
      <w:r w:rsidRPr="008342BC">
        <w:rPr>
          <w:b/>
          <w:bCs/>
        </w:rPr>
        <w:t xml:space="preserve">Ask students to explain </w:t>
      </w:r>
      <w:r w:rsidRPr="008342BC">
        <w:rPr>
          <w:b/>
          <w:bCs/>
        </w:rPr>
        <w:t xml:space="preserve">reasoning - </w:t>
      </w:r>
      <w:r w:rsidRPr="008342BC">
        <w:t>Move beyond:</w:t>
      </w:r>
      <w:r w:rsidRPr="008342BC">
        <w:t xml:space="preserve"> </w:t>
      </w:r>
      <w:r w:rsidRPr="008342BC">
        <w:t>“What is the diagnosis?”</w:t>
      </w:r>
      <w:r w:rsidRPr="008342BC">
        <w:t xml:space="preserve"> </w:t>
      </w:r>
      <w:r w:rsidRPr="008342BC">
        <w:t>toward</w:t>
      </w:r>
      <w:r w:rsidRPr="008342BC">
        <w:t>: “</w:t>
      </w:r>
      <w:r w:rsidRPr="008342BC">
        <w:t>What findings support your thinking?”</w:t>
      </w:r>
    </w:p>
    <w:p w14:paraId="65363C6B" w14:textId="10A2751B" w:rsidR="008342BC" w:rsidRPr="008342BC" w:rsidRDefault="008342BC" w:rsidP="00AA0B98">
      <w:pPr>
        <w:pStyle w:val="ListParagraph"/>
        <w:numPr>
          <w:ilvl w:val="0"/>
          <w:numId w:val="4"/>
        </w:numPr>
        <w:spacing w:before="100" w:beforeAutospacing="1" w:after="100" w:afterAutospacing="1"/>
        <w:outlineLvl w:val="2"/>
      </w:pPr>
      <w:r w:rsidRPr="008342BC">
        <w:rPr>
          <w:b/>
          <w:bCs/>
        </w:rPr>
        <w:t>Silence is okay</w:t>
      </w:r>
      <w:r w:rsidRPr="008342BC">
        <w:rPr>
          <w:b/>
          <w:bCs/>
        </w:rPr>
        <w:t xml:space="preserve"> - </w:t>
      </w:r>
      <w:r w:rsidRPr="008342BC">
        <w:t>Giving students a few extra seconds to think often improves discussion quality.</w:t>
      </w:r>
    </w:p>
    <w:p w14:paraId="26FE3E80" w14:textId="4ED85339" w:rsidR="008342BC" w:rsidRPr="008342BC" w:rsidRDefault="008342BC" w:rsidP="008342BC">
      <w:pPr>
        <w:pStyle w:val="ListParagraph"/>
        <w:numPr>
          <w:ilvl w:val="0"/>
          <w:numId w:val="4"/>
        </w:numPr>
        <w:spacing w:before="100" w:beforeAutospacing="1" w:after="100" w:afterAutospacing="1"/>
        <w:outlineLvl w:val="2"/>
      </w:pPr>
      <w:r w:rsidRPr="008342BC">
        <w:rPr>
          <w:b/>
          <w:bCs/>
        </w:rPr>
        <w:t>Keep discussion moving</w:t>
      </w:r>
      <w:r w:rsidRPr="008342BC">
        <w:rPr>
          <w:b/>
          <w:bCs/>
        </w:rPr>
        <w:t xml:space="preserve"> - </w:t>
      </w:r>
      <w:r w:rsidRPr="008342BC">
        <w:t>You do not need perfect questions.</w:t>
      </w:r>
      <w:r w:rsidRPr="008342BC">
        <w:t xml:space="preserve"> </w:t>
      </w:r>
      <w:r w:rsidRPr="008342BC">
        <w:t>Small prompts can deepen reasoning significantly.</w:t>
      </w:r>
    </w:p>
    <w:p w14:paraId="1EACEBD3" w14:textId="2A86AC55" w:rsidR="008342BC" w:rsidRPr="008342BC" w:rsidRDefault="008342BC" w:rsidP="008342BC">
      <w:pPr>
        <w:rPr>
          <w:b/>
          <w:bCs/>
        </w:rPr>
      </w:pPr>
      <w:r>
        <w:rPr>
          <w:b/>
          <w:bCs/>
          <w:color w:val="C00000"/>
        </w:rPr>
        <w:t>Common DC Facilitation Trap</w:t>
      </w:r>
      <w:r w:rsidRPr="008342BC">
        <w:rPr>
          <w:b/>
          <w:bCs/>
          <w:color w:val="C00000"/>
        </w:rPr>
        <w:t>:</w:t>
      </w:r>
      <w:r>
        <w:rPr>
          <w:b/>
          <w:bCs/>
          <w:color w:val="C00000"/>
        </w:rPr>
        <w:t xml:space="preserve"> </w:t>
      </w:r>
      <w:r w:rsidRPr="008342BC">
        <w:t xml:space="preserve">Students </w:t>
      </w:r>
      <w:r w:rsidRPr="008342BC">
        <w:t>latch onto one diagnosis too early</w:t>
      </w:r>
      <w:r w:rsidRPr="008342BC">
        <w:t>.</w:t>
      </w:r>
    </w:p>
    <w:p w14:paraId="6DB097FE" w14:textId="44F74FAA" w:rsidR="008342BC" w:rsidRPr="008342BC" w:rsidRDefault="008342BC" w:rsidP="008342BC">
      <w:pPr>
        <w:pStyle w:val="ListParagraph"/>
        <w:spacing w:before="100" w:beforeAutospacing="1" w:after="100" w:afterAutospacing="1"/>
        <w:outlineLvl w:val="2"/>
        <w:rPr>
          <w:b/>
          <w:bCs/>
        </w:rPr>
      </w:pPr>
      <w:r w:rsidRPr="008342BC">
        <w:rPr>
          <w:b/>
          <w:bCs/>
        </w:rPr>
        <w:t xml:space="preserve">Try asking: </w:t>
      </w:r>
      <w:r w:rsidRPr="008342BC">
        <w:t xml:space="preserve">“What findings do not fit?” </w:t>
      </w:r>
      <w:r w:rsidRPr="008342BC">
        <w:t>or</w:t>
      </w:r>
      <w:r w:rsidRPr="008342BC">
        <w:t xml:space="preserve"> “What else should still be considered?” </w:t>
      </w:r>
      <w:r w:rsidRPr="008342BC">
        <w:t>or</w:t>
      </w:r>
      <w:r w:rsidRPr="008342BC">
        <w:t xml:space="preserve"> “What additional information would help?”</w:t>
      </w:r>
    </w:p>
    <w:p w14:paraId="412358C5" w14:textId="59DC2534" w:rsidR="00FB160C" w:rsidRDefault="008342BC" w:rsidP="00FB160C">
      <w:pPr>
        <w:pStyle w:val="NormalWeb"/>
      </w:pPr>
      <w:r>
        <w:rPr>
          <w:b/>
          <w:bCs/>
          <w:color w:val="C00000"/>
        </w:rPr>
        <w:t>Final Takeaway</w:t>
      </w:r>
      <w:r w:rsidRPr="008342BC">
        <w:rPr>
          <w:b/>
          <w:bCs/>
          <w:color w:val="C00000"/>
        </w:rPr>
        <w:t>:</w:t>
      </w:r>
      <w:r>
        <w:rPr>
          <w:b/>
          <w:bCs/>
          <w:color w:val="C00000"/>
        </w:rPr>
        <w:t xml:space="preserve"> </w:t>
      </w:r>
      <w:r w:rsidR="00FB160C">
        <w:t>Your role is not to immediately provide answers.</w:t>
      </w:r>
      <w:r w:rsidR="00FB160C">
        <w:t xml:space="preserve"> </w:t>
      </w:r>
      <w:r w:rsidR="00FB160C">
        <w:t>Your role is to:</w:t>
      </w:r>
      <w:r w:rsidR="00FB160C">
        <w:t xml:space="preserve"> </w:t>
      </w:r>
      <w:r w:rsidR="00FB160C">
        <w:t xml:space="preserve">guide reasoning, encourage discussion, and help students think through uncertainty. </w:t>
      </w:r>
    </w:p>
    <w:p w14:paraId="05DDD358" w14:textId="04115623" w:rsidR="008342BC" w:rsidRPr="008342BC" w:rsidRDefault="008342BC" w:rsidP="008342BC"/>
    <w:sectPr w:rsidR="008342BC" w:rsidRPr="008342BC" w:rsidSect="008342BC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93F"/>
    <w:multiLevelType w:val="hybridMultilevel"/>
    <w:tmpl w:val="0E788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0915"/>
    <w:multiLevelType w:val="hybridMultilevel"/>
    <w:tmpl w:val="83480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60072"/>
    <w:multiLevelType w:val="multilevel"/>
    <w:tmpl w:val="54BE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7C4D9C"/>
    <w:multiLevelType w:val="multilevel"/>
    <w:tmpl w:val="54BE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9A1741"/>
    <w:multiLevelType w:val="multilevel"/>
    <w:tmpl w:val="54BE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70D0F"/>
    <w:multiLevelType w:val="hybridMultilevel"/>
    <w:tmpl w:val="12D01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51A05"/>
    <w:multiLevelType w:val="hybridMultilevel"/>
    <w:tmpl w:val="96667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885444">
    <w:abstractNumId w:val="3"/>
  </w:num>
  <w:num w:numId="2" w16cid:durableId="713312771">
    <w:abstractNumId w:val="0"/>
  </w:num>
  <w:num w:numId="3" w16cid:durableId="1845050433">
    <w:abstractNumId w:val="1"/>
  </w:num>
  <w:num w:numId="4" w16cid:durableId="860437284">
    <w:abstractNumId w:val="5"/>
  </w:num>
  <w:num w:numId="5" w16cid:durableId="906889240">
    <w:abstractNumId w:val="2"/>
  </w:num>
  <w:num w:numId="6" w16cid:durableId="1799642734">
    <w:abstractNumId w:val="6"/>
  </w:num>
  <w:num w:numId="7" w16cid:durableId="1619680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BC"/>
    <w:rsid w:val="008342BC"/>
    <w:rsid w:val="00E71AF5"/>
    <w:rsid w:val="00FB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3566F"/>
  <w15:chartTrackingRefBased/>
  <w15:docId w15:val="{EF3ABF9E-B68B-436F-9D42-8FBCAC10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60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42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2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2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2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2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2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34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2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2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2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2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2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2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2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2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2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2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2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2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2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42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42B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342BC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834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122/jabfm.5.4.4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122/jabfm.5.4.41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Halsey, Rachel Marie Lorenzen</dc:creator>
  <cp:keywords/>
  <dc:description/>
  <cp:lastModifiedBy>Halsey, Rachel Marie Lorenzen</cp:lastModifiedBy>
  <cp:revision>1</cp:revision>
  <dcterms:created xsi:type="dcterms:W3CDTF">2026-05-14T18:18:00Z</dcterms:created>
  <dcterms:modified xsi:type="dcterms:W3CDTF">2026-05-14T18:31:00Z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622395ab-99b3-46d8-8c4e-283798b0a579</vt:lpwstr>
  </property>
</Properties>
</file>