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FE" w:rsidRPr="00082302" w:rsidRDefault="00B67EFE">
      <w:pPr>
        <w:pStyle w:val="Header"/>
        <w:tabs>
          <w:tab w:val="clear" w:pos="4320"/>
          <w:tab w:val="clear" w:pos="8640"/>
        </w:tabs>
        <w:rPr>
          <w:rFonts w:ascii="ITC Stone Serif Std. Medium" w:hAnsi="ITC Stone Serif Std. Medium"/>
          <w:szCs w:val="24"/>
        </w:rPr>
      </w:pPr>
    </w:p>
    <w:p w:rsidR="00B67EFE" w:rsidRPr="00082302" w:rsidRDefault="00B67EFE">
      <w:pPr>
        <w:pStyle w:val="Heading1"/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M E M O R A N D U M</w:t>
      </w:r>
    </w:p>
    <w:p w:rsidR="00B67EFE" w:rsidRPr="00082302" w:rsidRDefault="00B67EFE">
      <w:pPr>
        <w:rPr>
          <w:rFonts w:ascii="ITC Stone Serif Std. Medium" w:hAnsi="ITC Stone Serif Std. Medium"/>
          <w:szCs w:val="24"/>
        </w:rPr>
      </w:pPr>
    </w:p>
    <w:p w:rsidR="00B67EFE" w:rsidRPr="00082302" w:rsidRDefault="00B67EFE">
      <w:pPr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TO:</w:t>
      </w:r>
      <w:r w:rsidRPr="00082302">
        <w:rPr>
          <w:rFonts w:ascii="ITC Stone Serif Std. Medium" w:hAnsi="ITC Stone Serif Std. Medium"/>
          <w:szCs w:val="24"/>
        </w:rPr>
        <w:tab/>
      </w:r>
      <w:r w:rsidRPr="00082302">
        <w:rPr>
          <w:rFonts w:ascii="ITC Stone Serif Std. Medium" w:hAnsi="ITC Stone Serif Std. Medium"/>
          <w:szCs w:val="24"/>
        </w:rPr>
        <w:tab/>
      </w:r>
      <w:r w:rsidR="00FB0C9A" w:rsidRPr="00082302">
        <w:rPr>
          <w:rFonts w:ascii="ITC Stone Serif Std. Medium" w:hAnsi="ITC Stone Serif Std. Medium"/>
          <w:szCs w:val="24"/>
          <w:highlight w:val="yellow"/>
        </w:rPr>
        <w:t>Employee</w:t>
      </w:r>
    </w:p>
    <w:p w:rsidR="00FB0C9A" w:rsidRPr="00082302" w:rsidRDefault="00FB0C9A">
      <w:pPr>
        <w:rPr>
          <w:rFonts w:ascii="ITC Stone Serif Std. Medium" w:hAnsi="ITC Stone Serif Std. Medium"/>
          <w:szCs w:val="24"/>
        </w:rPr>
      </w:pPr>
    </w:p>
    <w:p w:rsidR="00B67EFE" w:rsidRPr="00082302" w:rsidRDefault="00B67EFE">
      <w:pPr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FROM:</w:t>
      </w:r>
      <w:r w:rsidRPr="00082302">
        <w:rPr>
          <w:rFonts w:ascii="ITC Stone Serif Std. Medium" w:hAnsi="ITC Stone Serif Std. Medium"/>
          <w:szCs w:val="24"/>
        </w:rPr>
        <w:tab/>
      </w:r>
      <w:r w:rsidR="00FB0C9A" w:rsidRPr="00082302">
        <w:rPr>
          <w:rFonts w:ascii="ITC Stone Serif Std. Medium" w:hAnsi="ITC Stone Serif Std. Medium"/>
          <w:szCs w:val="24"/>
          <w:highlight w:val="yellow"/>
        </w:rPr>
        <w:t>Supervisor, Title</w:t>
      </w:r>
    </w:p>
    <w:p w:rsidR="00B67EFE" w:rsidRPr="00082302" w:rsidRDefault="00B67EFE">
      <w:pPr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ab/>
      </w:r>
    </w:p>
    <w:p w:rsidR="00B67EFE" w:rsidRPr="00082302" w:rsidRDefault="00B67EFE">
      <w:pPr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DATE:</w:t>
      </w:r>
      <w:r w:rsidRPr="00082302">
        <w:rPr>
          <w:rFonts w:ascii="ITC Stone Serif Std. Medium" w:hAnsi="ITC Stone Serif Std. Medium"/>
          <w:szCs w:val="24"/>
        </w:rPr>
        <w:tab/>
      </w:r>
      <w:r w:rsidRPr="00082302">
        <w:rPr>
          <w:rFonts w:ascii="ITC Stone Serif Std. Medium" w:hAnsi="ITC Stone Serif Std. Medium"/>
          <w:szCs w:val="24"/>
        </w:rPr>
        <w:tab/>
      </w:r>
      <w:r w:rsidR="00FB0C9A" w:rsidRPr="00082302">
        <w:rPr>
          <w:rFonts w:ascii="ITC Stone Serif Std. Medium" w:hAnsi="ITC Stone Serif Std. Medium"/>
          <w:szCs w:val="24"/>
          <w:highlight w:val="yellow"/>
        </w:rPr>
        <w:t>Date</w:t>
      </w:r>
    </w:p>
    <w:p w:rsidR="00B67EFE" w:rsidRPr="00082302" w:rsidRDefault="00BE0DBB" w:rsidP="00BE0DBB">
      <w:pPr>
        <w:pStyle w:val="Header"/>
        <w:tabs>
          <w:tab w:val="clear" w:pos="4320"/>
          <w:tab w:val="clear" w:pos="8640"/>
          <w:tab w:val="left" w:pos="6392"/>
        </w:tabs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ab/>
      </w:r>
    </w:p>
    <w:p w:rsidR="00DD3C03" w:rsidRPr="00082302" w:rsidRDefault="00DD3C03" w:rsidP="00082302">
      <w:pPr>
        <w:tabs>
          <w:tab w:val="left" w:pos="1440"/>
          <w:tab w:val="left" w:pos="5935"/>
        </w:tabs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SUBJECT:</w:t>
      </w:r>
      <w:r w:rsidRPr="00082302">
        <w:rPr>
          <w:rFonts w:ascii="ITC Stone Serif Std. Medium" w:hAnsi="ITC Stone Serif Std. Medium"/>
          <w:szCs w:val="24"/>
        </w:rPr>
        <w:tab/>
      </w:r>
      <w:r w:rsidR="0078448E" w:rsidRPr="00082302">
        <w:rPr>
          <w:rFonts w:ascii="ITC Stone Serif Std. Medium" w:hAnsi="ITC Stone Serif Std. Medium"/>
          <w:szCs w:val="24"/>
        </w:rPr>
        <w:t xml:space="preserve">Temporary </w:t>
      </w:r>
      <w:r w:rsidRPr="00082302">
        <w:rPr>
          <w:rFonts w:ascii="ITC Stone Serif Std. Medium" w:hAnsi="ITC Stone Serif Std. Medium"/>
          <w:szCs w:val="24"/>
        </w:rPr>
        <w:t>Schedule Change</w:t>
      </w:r>
      <w:r w:rsidR="00082302" w:rsidRPr="00082302">
        <w:rPr>
          <w:rFonts w:ascii="ITC Stone Serif Std. Medium" w:hAnsi="ITC Stone Serif Std. Medium"/>
          <w:szCs w:val="24"/>
        </w:rPr>
        <w:tab/>
      </w:r>
    </w:p>
    <w:p w:rsidR="00DD3C03" w:rsidRPr="00082302" w:rsidRDefault="00DD3C03" w:rsidP="00DD3C03">
      <w:pPr>
        <w:rPr>
          <w:rFonts w:ascii="ITC Stone Serif Std. Medium" w:hAnsi="ITC Stone Serif Std. Medium"/>
          <w:szCs w:val="24"/>
        </w:rPr>
      </w:pPr>
    </w:p>
    <w:p w:rsidR="00DD3C03" w:rsidRPr="00082302" w:rsidRDefault="00DD3C03" w:rsidP="00DD3C03">
      <w:pPr>
        <w:rPr>
          <w:rFonts w:ascii="ITC Stone Serif Std. Medium" w:hAnsi="ITC Stone Serif Std. Medium"/>
          <w:szCs w:val="24"/>
        </w:rPr>
      </w:pPr>
      <w:bookmarkStart w:id="0" w:name="_GoBack"/>
      <w:bookmarkEnd w:id="0"/>
    </w:p>
    <w:p w:rsidR="00DD3C03" w:rsidRPr="00082302" w:rsidRDefault="00CA5A95" w:rsidP="00DD3C03">
      <w:pPr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 xml:space="preserve">Per WAC 357-28-252, </w:t>
      </w:r>
      <w:r w:rsidR="00DD3C03" w:rsidRPr="00082302">
        <w:rPr>
          <w:rFonts w:ascii="ITC Stone Serif Std. Medium" w:hAnsi="ITC Stone Serif Std. Medium"/>
          <w:szCs w:val="24"/>
        </w:rPr>
        <w:t xml:space="preserve">I am notifying you of a </w:t>
      </w:r>
      <w:r w:rsidR="0078448E" w:rsidRPr="00082302">
        <w:rPr>
          <w:rFonts w:ascii="ITC Stone Serif Std. Medium" w:hAnsi="ITC Stone Serif Std. Medium"/>
          <w:szCs w:val="24"/>
        </w:rPr>
        <w:t xml:space="preserve">temporary </w:t>
      </w:r>
      <w:r w:rsidR="00DD3C03" w:rsidRPr="00082302">
        <w:rPr>
          <w:rFonts w:ascii="ITC Stone Serif Std. Medium" w:hAnsi="ITC Stone Serif Std. Medium"/>
          <w:szCs w:val="24"/>
        </w:rPr>
        <w:t xml:space="preserve">change to your </w:t>
      </w:r>
      <w:r w:rsidR="0078448E" w:rsidRPr="00082302">
        <w:rPr>
          <w:rFonts w:ascii="ITC Stone Serif Std. Medium" w:hAnsi="ITC Stone Serif Std. Medium"/>
          <w:szCs w:val="24"/>
        </w:rPr>
        <w:t xml:space="preserve">work </w:t>
      </w:r>
      <w:r w:rsidR="00DD3C03" w:rsidRPr="00082302">
        <w:rPr>
          <w:rFonts w:ascii="ITC Stone Serif Std. Medium" w:hAnsi="ITC Stone Serif Std. Medium"/>
          <w:szCs w:val="24"/>
        </w:rPr>
        <w:t xml:space="preserve">schedule </w:t>
      </w:r>
      <w:r w:rsidR="0078448E" w:rsidRPr="00082302">
        <w:rPr>
          <w:rFonts w:ascii="ITC Stone Serif Std. Medium" w:hAnsi="ITC Stone Serif Std. Medium"/>
          <w:szCs w:val="24"/>
        </w:rPr>
        <w:t xml:space="preserve">beginning </w:t>
      </w:r>
      <w:r w:rsidR="0078448E" w:rsidRPr="00082302">
        <w:rPr>
          <w:rFonts w:ascii="ITC Stone Serif Std. Medium" w:hAnsi="ITC Stone Serif Std. Medium"/>
          <w:szCs w:val="24"/>
          <w:highlight w:val="yellow"/>
        </w:rPr>
        <w:t>DATE</w:t>
      </w:r>
      <w:r w:rsidR="0078448E" w:rsidRPr="00082302">
        <w:rPr>
          <w:rFonts w:ascii="ITC Stone Serif Std. Medium" w:hAnsi="ITC Stone Serif Std. Medium"/>
          <w:szCs w:val="24"/>
        </w:rPr>
        <w:t xml:space="preserve">. </w:t>
      </w:r>
      <w:r w:rsidR="0078448E" w:rsidRPr="00082302">
        <w:rPr>
          <w:rFonts w:ascii="ITC Stone Serif Std. Medium" w:hAnsi="ITC Stone Serif Std. Medium"/>
          <w:color w:val="FF0000"/>
          <w:szCs w:val="24"/>
        </w:rPr>
        <w:t>(</w:t>
      </w:r>
      <w:r w:rsidR="0078448E" w:rsidRPr="00082302">
        <w:rPr>
          <w:rFonts w:ascii="ITC Stone Serif Std. Medium" w:hAnsi="ITC Stone Serif Std. Medium"/>
          <w:i/>
          <w:color w:val="FF0000"/>
          <w:szCs w:val="24"/>
        </w:rPr>
        <w:t>Normally two calendar days' notice must be given to the employee. The day notification is given constitutes a day of notice – see WAC listed below.</w:t>
      </w:r>
      <w:r w:rsidR="0078448E" w:rsidRPr="00082302">
        <w:rPr>
          <w:rFonts w:ascii="ITC Stone Serif Std. Medium" w:hAnsi="ITC Stone Serif Std. Medium"/>
          <w:color w:val="FF0000"/>
          <w:szCs w:val="24"/>
        </w:rPr>
        <w:t>)</w:t>
      </w:r>
      <w:r w:rsidR="0078448E" w:rsidRPr="00082302">
        <w:rPr>
          <w:rFonts w:ascii="ITC Stone Serif Std. Medium" w:hAnsi="ITC Stone Serif Std. Medium"/>
          <w:szCs w:val="24"/>
        </w:rPr>
        <w:t xml:space="preserve">  </w:t>
      </w:r>
      <w:r w:rsidR="00DD3C03" w:rsidRPr="00082302">
        <w:rPr>
          <w:rFonts w:ascii="ITC Stone Serif Std. Medium" w:hAnsi="ITC Stone Serif Std. Medium"/>
          <w:szCs w:val="24"/>
        </w:rPr>
        <w:t xml:space="preserve">Starting on </w:t>
      </w:r>
      <w:r w:rsidR="00F90802" w:rsidRPr="00082302">
        <w:rPr>
          <w:rFonts w:ascii="ITC Stone Serif Std. Medium" w:hAnsi="ITC Stone Serif Std. Medium"/>
          <w:szCs w:val="24"/>
          <w:highlight w:val="yellow"/>
        </w:rPr>
        <w:t>DATE</w:t>
      </w:r>
      <w:r w:rsidR="00F90802" w:rsidRPr="00082302">
        <w:rPr>
          <w:rFonts w:ascii="ITC Stone Serif Std. Medium" w:hAnsi="ITC Stone Serif Std. Medium"/>
          <w:szCs w:val="24"/>
        </w:rPr>
        <w:t xml:space="preserve"> through </w:t>
      </w:r>
      <w:r w:rsidR="00F90802" w:rsidRPr="00082302">
        <w:rPr>
          <w:rFonts w:ascii="ITC Stone Serif Std. Medium" w:hAnsi="ITC Stone Serif Std. Medium"/>
          <w:szCs w:val="24"/>
          <w:highlight w:val="yellow"/>
        </w:rPr>
        <w:t>DATE</w:t>
      </w:r>
      <w:r w:rsidR="00F90802" w:rsidRPr="00082302">
        <w:rPr>
          <w:rFonts w:ascii="ITC Stone Serif Std. Medium" w:hAnsi="ITC Stone Serif Std. Medium"/>
          <w:szCs w:val="24"/>
        </w:rPr>
        <w:t xml:space="preserve"> </w:t>
      </w:r>
      <w:r w:rsidR="00DD3C03" w:rsidRPr="00082302">
        <w:rPr>
          <w:rFonts w:ascii="ITC Stone Serif Std. Medium" w:hAnsi="ITC Stone Serif Std. Medium"/>
          <w:szCs w:val="24"/>
        </w:rPr>
        <w:t xml:space="preserve">your working hours will be from </w:t>
      </w:r>
      <w:r w:rsidR="003D7356" w:rsidRPr="00082302">
        <w:rPr>
          <w:rFonts w:ascii="ITC Stone Serif Std. Medium" w:hAnsi="ITC Stone Serif Std. Medium"/>
          <w:szCs w:val="24"/>
          <w:highlight w:val="yellow"/>
        </w:rPr>
        <w:t>7:0</w:t>
      </w:r>
      <w:r w:rsidR="00DD3C03" w:rsidRPr="00082302">
        <w:rPr>
          <w:rFonts w:ascii="ITC Stone Serif Std. Medium" w:hAnsi="ITC Stone Serif Std. Medium"/>
          <w:szCs w:val="24"/>
          <w:highlight w:val="yellow"/>
        </w:rPr>
        <w:t xml:space="preserve">0 a.m. – </w:t>
      </w:r>
      <w:r w:rsidR="003D7356" w:rsidRPr="00082302">
        <w:rPr>
          <w:rFonts w:ascii="ITC Stone Serif Std. Medium" w:hAnsi="ITC Stone Serif Std. Medium"/>
          <w:szCs w:val="24"/>
          <w:highlight w:val="yellow"/>
        </w:rPr>
        <w:t>6:00 p.m. Monday thru Thursday/Tuesday thru Friday</w:t>
      </w:r>
      <w:r w:rsidR="00DD3C03" w:rsidRPr="00082302">
        <w:rPr>
          <w:rFonts w:ascii="ITC Stone Serif Std. Medium" w:hAnsi="ITC Stone Serif Std. Medium"/>
          <w:szCs w:val="24"/>
        </w:rPr>
        <w:t xml:space="preserve">. </w:t>
      </w:r>
    </w:p>
    <w:p w:rsidR="00DD3C03" w:rsidRPr="00082302" w:rsidRDefault="00DD3C03" w:rsidP="00DD3C03">
      <w:pPr>
        <w:rPr>
          <w:rFonts w:ascii="ITC Stone Serif Std. Medium" w:hAnsi="ITC Stone Serif Std. Medium"/>
          <w:szCs w:val="24"/>
        </w:rPr>
      </w:pPr>
    </w:p>
    <w:p w:rsidR="00082302" w:rsidRPr="00082302" w:rsidRDefault="00DD3C03" w:rsidP="00DD3C03">
      <w:pPr>
        <w:pStyle w:val="BodyText"/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 xml:space="preserve">cc:  </w:t>
      </w:r>
      <w:r w:rsidRPr="00082302">
        <w:rPr>
          <w:rFonts w:ascii="ITC Stone Serif Std. Medium" w:hAnsi="ITC Stone Serif Std. Medium"/>
          <w:szCs w:val="24"/>
        </w:rPr>
        <w:tab/>
      </w:r>
      <w:r w:rsidR="00082302" w:rsidRPr="00082302">
        <w:rPr>
          <w:rFonts w:ascii="ITC Stone Serif Std. Medium" w:hAnsi="ITC Stone Serif Std. Medium"/>
          <w:szCs w:val="24"/>
        </w:rPr>
        <w:t>Appropriate Area/Department Representative(s)</w:t>
      </w:r>
    </w:p>
    <w:p w:rsidR="00DD3C03" w:rsidRPr="00082302" w:rsidRDefault="00DD3C03" w:rsidP="00082302">
      <w:pPr>
        <w:pStyle w:val="BodyText"/>
        <w:ind w:firstLine="720"/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>HRS Personnel File</w:t>
      </w:r>
    </w:p>
    <w:p w:rsidR="00DD3C03" w:rsidRPr="00082302" w:rsidRDefault="00DD3C03" w:rsidP="00DD3C03">
      <w:pPr>
        <w:pStyle w:val="BodyText"/>
        <w:rPr>
          <w:rFonts w:ascii="ITC Stone Serif Std. Medium" w:hAnsi="ITC Stone Serif Std. Medium"/>
          <w:szCs w:val="24"/>
        </w:rPr>
      </w:pPr>
      <w:r w:rsidRPr="00082302">
        <w:rPr>
          <w:rFonts w:ascii="ITC Stone Serif Std. Medium" w:hAnsi="ITC Stone Serif Std. Medium"/>
          <w:szCs w:val="24"/>
        </w:rPr>
        <w:tab/>
      </w:r>
    </w:p>
    <w:p w:rsidR="00B67EFE" w:rsidRPr="00082302" w:rsidRDefault="0078448E" w:rsidP="0078448E">
      <w:pPr>
        <w:pStyle w:val="Heading2"/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</w:pPr>
      <w:r w:rsidRPr="00082302">
        <w:rPr>
          <w:rFonts w:ascii="ITC Stone Serif Std. Medium" w:hAnsi="ITC Stone Serif Std. Medium"/>
          <w:b w:val="0"/>
          <w:i w:val="0"/>
          <w:sz w:val="24"/>
          <w:szCs w:val="24"/>
        </w:rPr>
        <w:t> </w:t>
      </w:r>
      <w:r w:rsidRPr="00082302">
        <w:rPr>
          <w:rFonts w:ascii="ITC Stone Serif Std. Medium" w:hAnsi="ITC Stone Serif Std. Medium"/>
          <w:i w:val="0"/>
          <w:color w:val="FF0000"/>
          <w:sz w:val="24"/>
          <w:szCs w:val="24"/>
        </w:rPr>
        <w:t xml:space="preserve">WAC 357-28-252 </w:t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t xml:space="preserve">(1) For temporary changes in work hours or shift for a period of thirty calendar days or less, the employer must provide two calendar days' notice to the employee. The day notification is given constitutes a day of notice. </w:t>
      </w:r>
      <w:r w:rsidRPr="00082302">
        <w:rPr>
          <w:rFonts w:ascii="ITC Stone Serif Std. Medium" w:hAnsi="ITC Stone Serif Std. Medium"/>
          <w:b w:val="0"/>
          <w:color w:val="FF0000"/>
          <w:sz w:val="24"/>
          <w:szCs w:val="24"/>
        </w:rPr>
        <w:t>The employer may provide less than two calendar days' notice for the following reasons:</w:t>
      </w:r>
      <w:r w:rsidRPr="00082302">
        <w:rPr>
          <w:rFonts w:ascii="ITC Stone Serif Std. Medium" w:hAnsi="ITC Stone Serif Std. Medium"/>
          <w:b w:val="0"/>
          <w:color w:val="FF0000"/>
          <w:sz w:val="24"/>
          <w:szCs w:val="24"/>
        </w:rPr>
        <w:br/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br/>
        <w:t xml:space="preserve">     (a) When there are emergency conditions as defined by the employer, including employees dispatched to emergency response duty under an incident command system as defined in RCW </w:t>
      </w:r>
      <w:hyperlink r:id="rId7" w:history="1">
        <w:r w:rsidRPr="00082302">
          <w:rPr>
            <w:rStyle w:val="Hyperlink"/>
            <w:rFonts w:ascii="ITC Stone Serif Std. Medium" w:hAnsi="ITC Stone Serif Std. Medium"/>
            <w:b w:val="0"/>
            <w:i w:val="0"/>
            <w:color w:val="FF0000"/>
            <w:sz w:val="24"/>
            <w:szCs w:val="24"/>
          </w:rPr>
          <w:t>38.52.010</w:t>
        </w:r>
      </w:hyperlink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t>, and employees of the department of corrections who are in charge of offenders assigned to assist in forest fire suppression and other emergency incidents;</w:t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br/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br/>
        <w:t>     (b) When there is a lack of work or a safety hazard to the employee and/or others; or</w:t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br/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br/>
        <w:t xml:space="preserve">     (c) When the change is requested by the employee and approved by the employing </w:t>
      </w:r>
      <w:r w:rsidR="00CA5A95"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t xml:space="preserve"> </w:t>
      </w:r>
      <w:r w:rsidRPr="00082302">
        <w:rPr>
          <w:rFonts w:ascii="ITC Stone Serif Std. Medium" w:hAnsi="ITC Stone Serif Std. Medium"/>
          <w:b w:val="0"/>
          <w:i w:val="0"/>
          <w:color w:val="FF0000"/>
          <w:sz w:val="24"/>
          <w:szCs w:val="24"/>
        </w:rPr>
        <w:t>official.</w:t>
      </w:r>
    </w:p>
    <w:p w:rsidR="00B67EFE" w:rsidRPr="00082302" w:rsidRDefault="00B67EFE">
      <w:pPr>
        <w:rPr>
          <w:rFonts w:ascii="ITC Stone Serif Std. Medium" w:hAnsi="ITC Stone Serif Std. Medium"/>
          <w:color w:val="FF0000"/>
          <w:szCs w:val="24"/>
        </w:rPr>
      </w:pPr>
    </w:p>
    <w:p w:rsidR="00B67EFE" w:rsidRPr="00082302" w:rsidRDefault="00B67EFE">
      <w:pPr>
        <w:rPr>
          <w:rFonts w:ascii="ITC Stone Serif Std. Medium" w:hAnsi="ITC Stone Serif Std. Medium"/>
          <w:color w:val="FF0000"/>
          <w:szCs w:val="24"/>
        </w:rPr>
      </w:pPr>
    </w:p>
    <w:sectPr w:rsidR="00B67EFE" w:rsidRPr="00082302" w:rsidSect="00F90802">
      <w:headerReference w:type="default" r:id="rId8"/>
      <w:footerReference w:type="default" r:id="rId9"/>
      <w:pgSz w:w="12240" w:h="15840"/>
      <w:pgMar w:top="2880" w:right="1440" w:bottom="450" w:left="21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C42" w:rsidRDefault="00102C42">
      <w:r>
        <w:separator/>
      </w:r>
    </w:p>
  </w:endnote>
  <w:endnote w:type="continuationSeparator" w:id="0">
    <w:p w:rsidR="00102C42" w:rsidRDefault="0010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ne Serif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Stone San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3A" w:rsidRPr="00697577" w:rsidRDefault="008B663A">
    <w:pPr>
      <w:pStyle w:val="Footer"/>
      <w:rPr>
        <w:rFonts w:ascii="Stone Sans" w:hAnsi="Stone Sans"/>
      </w:rPr>
    </w:pPr>
  </w:p>
  <w:p w:rsidR="008B663A" w:rsidRPr="00697577" w:rsidRDefault="008B663A">
    <w:pPr>
      <w:pStyle w:val="Footer"/>
      <w:rPr>
        <w:rFonts w:ascii="Stone Sans" w:hAnsi="Stone Sans"/>
        <w:sz w:val="16"/>
        <w:szCs w:val="16"/>
      </w:rPr>
    </w:pPr>
  </w:p>
  <w:p w:rsidR="008B663A" w:rsidRPr="00082302" w:rsidRDefault="008B663A">
    <w:pPr>
      <w:pStyle w:val="Footer"/>
      <w:rPr>
        <w:rFonts w:ascii="ITC Stone Serif Std. Medium" w:hAnsi="ITC Stone Serif Std. Medium"/>
        <w:sz w:val="16"/>
        <w:szCs w:val="16"/>
      </w:rPr>
    </w:pPr>
  </w:p>
  <w:p w:rsidR="00E133A7" w:rsidRPr="00082302" w:rsidRDefault="00C74E96">
    <w:pPr>
      <w:pStyle w:val="Footer"/>
      <w:rPr>
        <w:rFonts w:ascii="ITC Stone Serif Std. Medium" w:hAnsi="ITC Stone Serif Std. Medium"/>
        <w:color w:val="808080" w:themeColor="background1" w:themeShade="80"/>
        <w:sz w:val="18"/>
        <w:szCs w:val="18"/>
        <w:highlight w:val="cyan"/>
      </w:rPr>
    </w:pPr>
    <w:r w:rsidRPr="00082302">
      <w:rPr>
        <w:rFonts w:ascii="ITC Stone Serif Std. Medium" w:hAnsi="ITC Stone Serif Std. Medium"/>
        <w:color w:val="808080" w:themeColor="background1" w:themeShade="80"/>
        <w:sz w:val="18"/>
        <w:szCs w:val="18"/>
        <w:highlight w:val="cyan"/>
      </w:rPr>
      <w:t xml:space="preserve">CS Temporary Schedule Change </w:t>
    </w:r>
    <w:r w:rsidRPr="00082302">
      <w:rPr>
        <w:rFonts w:ascii="ITC Stone Serif Std. Medium" w:hAnsi="ITC Stone Serif Std. Medium"/>
        <w:color w:val="808080" w:themeColor="background1" w:themeShade="80"/>
        <w:sz w:val="18"/>
        <w:szCs w:val="18"/>
        <w:highlight w:val="cyan"/>
      </w:rPr>
      <w:br/>
    </w:r>
    <w:r w:rsidR="00BE0DBB" w:rsidRPr="00082302">
      <w:rPr>
        <w:rFonts w:ascii="ITC Stone Serif Std. Medium" w:hAnsi="ITC Stone Serif Std. Medium"/>
        <w:color w:val="808080" w:themeColor="background1" w:themeShade="80"/>
        <w:sz w:val="18"/>
        <w:szCs w:val="18"/>
        <w:highlight w:val="cyan"/>
      </w:rPr>
      <w:t>Revised March 20</w:t>
    </w:r>
    <w:r w:rsidR="00082302" w:rsidRPr="00082302">
      <w:rPr>
        <w:rFonts w:ascii="ITC Stone Serif Std. Medium" w:hAnsi="ITC Stone Serif Std. Medium"/>
        <w:color w:val="808080" w:themeColor="background1" w:themeShade="80"/>
        <w:sz w:val="18"/>
        <w:szCs w:val="18"/>
        <w:highlight w:val="cyan"/>
      </w:rPr>
      <w:t>17</w:t>
    </w:r>
  </w:p>
  <w:p w:rsidR="00BE0DBB" w:rsidRPr="00697577" w:rsidRDefault="00BE0DBB">
    <w:pPr>
      <w:pStyle w:val="Footer"/>
      <w:rPr>
        <w:rFonts w:ascii="Stone Sans" w:hAnsi="Stone Sans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C42" w:rsidRDefault="00102C42">
      <w:r>
        <w:separator/>
      </w:r>
    </w:p>
  </w:footnote>
  <w:footnote w:type="continuationSeparator" w:id="0">
    <w:p w:rsidR="00102C42" w:rsidRDefault="00102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96" w:rsidRDefault="00082302">
    <w:pPr>
      <w:pStyle w:val="Header"/>
    </w:pPr>
    <w:sdt>
      <w:sdtPr>
        <w:id w:val="-1720203992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7410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-1029942</wp:posOffset>
              </wp:positionH>
              <wp:positionV relativeFrom="margin">
                <wp:posOffset>-1193220</wp:posOffset>
              </wp:positionV>
              <wp:extent cx="6962775" cy="5429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302" w:rsidRDefault="00082302" w:rsidP="0008230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6A6A6" w:themeColor="background1" w:themeShade="A6"/>
                              <w:sz w:val="72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81.1pt;margin-top:-93.95pt;width:548.25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" o:allowincell="f" filled="f" stroked="f">
              <v:stroke joinstyle="round"/>
              <o:lock v:ext="edit" shapetype="t"/>
              <v:textbox style="mso-fit-shape-to-text:t">
                <w:txbxContent>
                  <w:p w:rsidR="00082302" w:rsidRDefault="00082302" w:rsidP="0008230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6A6A6" w:themeColor="background1" w:themeShade="A6"/>
                        <w:sz w:val="72"/>
                        <w:szCs w:val="7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1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FE"/>
    <w:rsid w:val="00082302"/>
    <w:rsid w:val="00102C42"/>
    <w:rsid w:val="00183A6D"/>
    <w:rsid w:val="002B7E4E"/>
    <w:rsid w:val="00353134"/>
    <w:rsid w:val="00385193"/>
    <w:rsid w:val="003D7356"/>
    <w:rsid w:val="004A5B71"/>
    <w:rsid w:val="0052586E"/>
    <w:rsid w:val="00697577"/>
    <w:rsid w:val="007363DC"/>
    <w:rsid w:val="0078448E"/>
    <w:rsid w:val="008540E8"/>
    <w:rsid w:val="008B663A"/>
    <w:rsid w:val="00930F6D"/>
    <w:rsid w:val="00972CE5"/>
    <w:rsid w:val="0097760D"/>
    <w:rsid w:val="00AD72F7"/>
    <w:rsid w:val="00B309E7"/>
    <w:rsid w:val="00B41C94"/>
    <w:rsid w:val="00B67EFE"/>
    <w:rsid w:val="00BE0DBB"/>
    <w:rsid w:val="00C177F1"/>
    <w:rsid w:val="00C74E96"/>
    <w:rsid w:val="00CA5A95"/>
    <w:rsid w:val="00D04B86"/>
    <w:rsid w:val="00D315F4"/>
    <w:rsid w:val="00D3206C"/>
    <w:rsid w:val="00D70C6D"/>
    <w:rsid w:val="00DD3C03"/>
    <w:rsid w:val="00E133A7"/>
    <w:rsid w:val="00E37C14"/>
    <w:rsid w:val="00E54F16"/>
    <w:rsid w:val="00E60925"/>
    <w:rsid w:val="00F90802"/>
    <w:rsid w:val="00FB0C9A"/>
    <w:rsid w:val="00FD13E1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1"/>
    <o:shapelayout v:ext="edit">
      <o:idmap v:ext="edit" data="1"/>
    </o:shapelayout>
  </w:shapeDefaults>
  <w:decimalSymbol w:val="."/>
  <w:listSeparator w:val=","/>
  <w15:docId w15:val="{00CF8D93-3EFE-4F00-B3AC-412B7A2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A6D"/>
    <w:rPr>
      <w:sz w:val="24"/>
    </w:rPr>
  </w:style>
  <w:style w:type="paragraph" w:styleId="Heading1">
    <w:name w:val="heading 1"/>
    <w:basedOn w:val="Normal"/>
    <w:next w:val="Normal"/>
    <w:qFormat/>
    <w:rsid w:val="00183A6D"/>
    <w:pPr>
      <w:keepNext/>
      <w:outlineLvl w:val="0"/>
    </w:pPr>
    <w:rPr>
      <w:rFonts w:ascii="Stone Serif" w:hAnsi="Stone Serif"/>
      <w:b/>
    </w:rPr>
  </w:style>
  <w:style w:type="paragraph" w:styleId="Heading2">
    <w:name w:val="heading 2"/>
    <w:basedOn w:val="Normal"/>
    <w:next w:val="Normal"/>
    <w:qFormat/>
    <w:rsid w:val="007844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83A6D"/>
    <w:pPr>
      <w:numPr>
        <w:numId w:val="1"/>
      </w:numPr>
      <w:ind w:left="0" w:firstLine="0"/>
    </w:pPr>
  </w:style>
  <w:style w:type="paragraph" w:styleId="Header">
    <w:name w:val="header"/>
    <w:basedOn w:val="Normal"/>
    <w:rsid w:val="00183A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3A6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D3C03"/>
    <w:rPr>
      <w:rFonts w:ascii="Stone Serif" w:hAnsi="Stone Serif"/>
      <w:color w:val="000000"/>
    </w:rPr>
  </w:style>
  <w:style w:type="paragraph" w:styleId="BodyText2">
    <w:name w:val="Body Text 2"/>
    <w:basedOn w:val="Normal"/>
    <w:rsid w:val="00DD3C03"/>
    <w:rPr>
      <w:rFonts w:ascii="Stone Serif" w:hAnsi="Stone Serif"/>
      <w:i/>
      <w:color w:val="000000"/>
    </w:rPr>
  </w:style>
  <w:style w:type="character" w:styleId="CommentReference">
    <w:name w:val="annotation reference"/>
    <w:basedOn w:val="DefaultParagraphFont"/>
    <w:semiHidden/>
    <w:rsid w:val="00DD3C03"/>
    <w:rPr>
      <w:sz w:val="16"/>
      <w:szCs w:val="16"/>
    </w:rPr>
  </w:style>
  <w:style w:type="paragraph" w:styleId="CommentText">
    <w:name w:val="annotation text"/>
    <w:basedOn w:val="Normal"/>
    <w:semiHidden/>
    <w:rsid w:val="00DD3C03"/>
    <w:rPr>
      <w:sz w:val="20"/>
    </w:rPr>
  </w:style>
  <w:style w:type="paragraph" w:styleId="CommentSubject">
    <w:name w:val="annotation subject"/>
    <w:basedOn w:val="CommentText"/>
    <w:next w:val="CommentText"/>
    <w:semiHidden/>
    <w:rsid w:val="00DD3C03"/>
    <w:rPr>
      <w:b/>
      <w:bCs/>
    </w:rPr>
  </w:style>
  <w:style w:type="paragraph" w:styleId="BalloonText">
    <w:name w:val="Balloon Text"/>
    <w:basedOn w:val="Normal"/>
    <w:semiHidden/>
    <w:rsid w:val="00DD3C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48E"/>
    <w:rPr>
      <w:color w:val="0000FF"/>
      <w:u w:val="single"/>
    </w:rPr>
  </w:style>
  <w:style w:type="character" w:styleId="FollowedHyperlink">
    <w:name w:val="FollowedHyperlink"/>
    <w:basedOn w:val="DefaultParagraphFont"/>
    <w:rsid w:val="0069757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D6086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pps.leg.wa.gov/RCW/default.aspx?cite=38.52.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R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HRS Letterhead</Template>
  <TotalTime>2</TotalTime>
  <Pages>1</Pages>
  <Words>230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1501</CharactersWithSpaces>
  <SharedDoc>false</SharedDoc>
  <HLinks>
    <vt:vector size="6" baseType="variant">
      <vt:variant>
        <vt:i4>2359329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http://apps.leg.wa.gov/RCW/default.aspx?cite=38.52.010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lgehring</dc:creator>
  <cp:keywords/>
  <cp:lastModifiedBy>Pond, Melissa E</cp:lastModifiedBy>
  <cp:revision>3</cp:revision>
  <cp:lastPrinted>2008-05-07T16:07:00Z</cp:lastPrinted>
  <dcterms:created xsi:type="dcterms:W3CDTF">2013-08-08T20:47:00Z</dcterms:created>
  <dcterms:modified xsi:type="dcterms:W3CDTF">2017-03-22T22:45:00Z</dcterms:modified>
</cp:coreProperties>
</file>