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2026 WSU Molecular Plant Sciences Symposium</w:t>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Saturday, February 21st, Zoom Meeting: 985 0367 3697 Passcode: MPS2026</w:t>
      </w:r>
    </w:p>
    <w:p w:rsidR="00000000" w:rsidDel="00000000" w:rsidP="00000000" w:rsidRDefault="00000000" w:rsidRPr="00000000" w14:paraId="00000003">
      <w:pPr>
        <w:spacing w:before="0" w:line="240" w:lineRule="auto"/>
        <w:rPr>
          <w:rFonts w:ascii="Times New Roman" w:cs="Times New Roman" w:eastAsia="Times New Roman" w:hAnsi="Times New Roman"/>
          <w:b w:val="1"/>
          <w:bCs w:val="1"/>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before="0" w:line="240" w:lineRule="auto"/>
        <w:rPr>
          <w:rFonts w:ascii="Times New Roman" w:cs="Times New Roman" w:eastAsia="Times New Roman" w:hAnsi="Times New Roman"/>
          <w:b w:val="1"/>
          <w:bCs w:val="1"/>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before="0" w:line="240" w:lineRule="auto"/>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06">
      <w:pPr>
        <w:spacing w:before="0" w:line="240" w:lineRule="auto"/>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07">
      <w:pPr>
        <w:spacing w:before="0" w:line="240" w:lineRule="auto"/>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1:00 PM  </w:t>
      </w:r>
      <w:r w:rsidDel="00000000" w:rsidR="00000000" w:rsidRPr="00000000">
        <w:rPr>
          <w:rFonts w:ascii="Times New Roman" w:cs="Times New Roman" w:eastAsia="Times New Roman" w:hAnsi="Times New Roman"/>
          <w:sz w:val="24"/>
          <w:szCs w:val="24"/>
          <w:rtl w:val="0"/>
        </w:rPr>
        <w:t xml:space="preserve">Welcome and information about research resources: </w:t>
      </w:r>
      <w:r w:rsidDel="00000000" w:rsidR="00000000" w:rsidRPr="00000000">
        <w:rPr>
          <w:rFonts w:ascii="Times New Roman" w:cs="Times New Roman" w:eastAsia="Times New Roman" w:hAnsi="Times New Roman"/>
          <w:b w:val="1"/>
          <w:bCs w:val="1"/>
          <w:sz w:val="24"/>
          <w:szCs w:val="24"/>
          <w:rtl w:val="0"/>
        </w:rPr>
        <w:t xml:space="preserve">MPS Program Director, Dr. Laura Bartley &amp; Dr. David Crowder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1:10-2:30 Session I: </w:t>
      </w:r>
      <w:r w:rsidDel="00000000" w:rsidR="00000000" w:rsidRPr="00000000">
        <w:rPr>
          <w:rFonts w:ascii="Times New Roman" w:cs="Times New Roman" w:eastAsia="Times New Roman" w:hAnsi="Times New Roman"/>
          <w:sz w:val="24"/>
          <w:szCs w:val="24"/>
          <w:rtl w:val="0"/>
        </w:rPr>
        <w:t xml:space="preserve">Chair,</w:t>
      </w:r>
      <w:r w:rsidDel="00000000" w:rsidR="00000000" w:rsidRPr="00000000">
        <w:rPr>
          <w:rFonts w:ascii="Times New Roman" w:cs="Times New Roman" w:eastAsia="Times New Roman" w:hAnsi="Times New Roman"/>
          <w:b w:val="1"/>
          <w:bCs w:val="1"/>
          <w:sz w:val="24"/>
          <w:szCs w:val="24"/>
          <w:rtl w:val="0"/>
        </w:rPr>
        <w:t xml:space="preserve"> Tana Rayburn (Institute of Biological Chemistry, MPS)</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Dr. </w:t>
      </w:r>
      <w:r w:rsidDel="00000000" w:rsidR="00000000" w:rsidRPr="00000000">
        <w:rPr>
          <w:rFonts w:ascii="Times New Roman" w:cs="Times New Roman" w:eastAsia="Times New Roman" w:hAnsi="Times New Roman"/>
          <w:b w:val="1"/>
          <w:bCs w:val="1"/>
          <w:color w:val="262626"/>
          <w:sz w:val="24"/>
          <w:szCs w:val="24"/>
          <w:rtl w:val="0"/>
        </w:rPr>
        <w:t xml:space="preserve">Hana Zand Karimi (School of Biological Sciences, MPS)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Extracellular Mechanisms Shaping Plant Immune Responses and Defenses</w:t>
      </w:r>
    </w:p>
    <w:p w:rsidR="00000000" w:rsidDel="00000000" w:rsidP="00000000" w:rsidRDefault="00000000" w:rsidRPr="00000000" w14:paraId="0000000D">
      <w:pPr>
        <w:ind w:left="288"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The plant extracellular space (apoplast) is the first site of contact between plants and pathogens and plays a central role during infection. This extracellular space contains active molecules that strongly influence how plants detect microbes and respond to infection. My lab is interested in how plant apoplastic components, including proteolytic machinery and extracellular RNAs, contribute to immune signaling and defense during infection. </w:t>
      </w:r>
      <w:r w:rsidDel="00000000" w:rsidR="00000000" w:rsidRPr="00000000">
        <w:rPr>
          <w:rtl w:val="0"/>
        </w:rPr>
      </w:r>
    </w:p>
    <w:p w:rsidR="00000000" w:rsidDel="00000000" w:rsidP="00000000" w:rsidRDefault="00000000" w:rsidRPr="00000000" w14:paraId="0000000E">
      <w:pPr>
        <w:ind w:lef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Dr. Ni</w:t>
      </w:r>
      <w:r w:rsidDel="00000000" w:rsidR="00000000" w:rsidRPr="00000000">
        <w:rPr>
          <w:rFonts w:ascii="Times New Roman" w:cs="Times New Roman" w:eastAsia="Times New Roman" w:hAnsi="Times New Roman"/>
          <w:b w:val="1"/>
          <w:bCs w:val="1"/>
          <w:sz w:val="24"/>
          <w:szCs w:val="24"/>
          <w:rtl w:val="0"/>
        </w:rPr>
        <w:t xml:space="preserve">ñ</w:t>
      </w:r>
      <w:r w:rsidDel="00000000" w:rsidR="00000000" w:rsidRPr="00000000">
        <w:rPr>
          <w:rFonts w:ascii="Times New Roman" w:cs="Times New Roman" w:eastAsia="Times New Roman" w:hAnsi="Times New Roman"/>
          <w:b w:val="1"/>
          <w:bCs w:val="1"/>
          <w:sz w:val="24"/>
          <w:szCs w:val="24"/>
          <w:rtl w:val="0"/>
        </w:rPr>
        <w:t xml:space="preserve">a Barroga (Institute of Biological Chemistry): </w:t>
      </w:r>
      <w:r w:rsidDel="00000000" w:rsidR="00000000" w:rsidRPr="00000000">
        <w:rPr>
          <w:rFonts w:ascii="Times New Roman" w:cs="Times New Roman" w:eastAsia="Times New Roman" w:hAnsi="Times New Roman"/>
          <w:i w:val="1"/>
          <w:iCs w:val="1"/>
          <w:sz w:val="24"/>
          <w:szCs w:val="24"/>
          <w:rtl w:val="0"/>
        </w:rPr>
        <w:t xml:space="preserve">From Seeds to Skies: Understanding pennycress seed oil pathways for engineering aviation biofuels</w:t>
      </w:r>
    </w:p>
    <w:p w:rsidR="00000000" w:rsidDel="00000000" w:rsidP="00000000" w:rsidRDefault="00000000" w:rsidRPr="00000000" w14:paraId="00000010">
      <w:pPr>
        <w:ind w:left="2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Plants seed oils are a renewable source of reduced carbon and stored energy. Uses of seed oils for food or industrial purposes depends on the fatty acid composition. Thus, understanding how plants accumulate oil is important to tailor it to different uses. My talk will present on characterizing the seed oil biosynthesis of a Brassicaceae crop called pennycress – an emerging bioenergy crop being developed to produce oil for sustainable aviation biofuels.</w:t>
      </w:r>
    </w:p>
    <w:p w:rsidR="00000000" w:rsidDel="00000000" w:rsidP="00000000" w:rsidRDefault="00000000" w:rsidRPr="00000000" w14:paraId="00000011">
      <w:pPr>
        <w:ind w:lef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Neetika Fnu (Department of Chemistry): </w:t>
      </w:r>
      <w:r w:rsidDel="00000000" w:rsidR="00000000" w:rsidRPr="00000000">
        <w:rPr>
          <w:rFonts w:ascii="Times New Roman" w:cs="Times New Roman" w:eastAsia="Times New Roman" w:hAnsi="Times New Roman"/>
          <w:i w:val="1"/>
          <w:iCs w:val="1"/>
          <w:sz w:val="24"/>
          <w:szCs w:val="24"/>
          <w:rtl w:val="0"/>
        </w:rPr>
        <w:t xml:space="preserve">Investigating Interactions Among Sorghum bicolor Enzymes in the Biosynthetic Pathways</w:t>
      </w:r>
    </w:p>
    <w:p w:rsidR="00000000" w:rsidDel="00000000" w:rsidP="00000000" w:rsidRDefault="00000000" w:rsidRPr="00000000" w14:paraId="00000013">
      <w:pPr>
        <w:ind w:left="28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Flavonoid biosynthesis proceeds through coordinated enzyme activities, in which Chalcone Synthase (CHS), Chalcone Isomerase (CHI), and a CHI-like protein (CHIL) are proposed to function as a multi-enzyme complex. In this study, we investigated the assembly of CHS, CHI, and CHIL. Our findings support a cooperative multi-enzyme complex that organizes early flavonoid biosynthesis in sorghum, with implications for improving crop resilience and bioenergy potential.</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Chase Baerlocher (Department of Entomology, MPS): </w:t>
      </w:r>
      <w:r w:rsidDel="00000000" w:rsidR="00000000" w:rsidRPr="00000000">
        <w:rPr>
          <w:rFonts w:ascii="Times New Roman" w:cs="Times New Roman" w:eastAsia="Times New Roman" w:hAnsi="Times New Roman"/>
          <w:i w:val="1"/>
          <w:iCs w:val="1"/>
          <w:sz w:val="24"/>
          <w:szCs w:val="24"/>
          <w:highlight w:val="white"/>
          <w:rtl w:val="0"/>
        </w:rPr>
        <w:t xml:space="preserve">Legume Responses to Insect and Pathogen Attack Depend on Rhizobium Partner Quality</w:t>
      </w:r>
      <w:r w:rsidDel="00000000" w:rsidR="00000000" w:rsidRPr="00000000">
        <w:rPr>
          <w:rtl w:val="0"/>
        </w:rPr>
      </w:r>
    </w:p>
    <w:p w:rsidR="00000000" w:rsidDel="00000000" w:rsidP="00000000" w:rsidRDefault="00000000" w:rsidRPr="00000000" w14:paraId="00000016">
      <w:pPr>
        <w:ind w:left="2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Winter peas are associated with soil bacteria in the genus </w:t>
      </w:r>
      <w:r w:rsidDel="00000000" w:rsidR="00000000" w:rsidRPr="00000000">
        <w:rPr>
          <w:rFonts w:ascii="Times New Roman" w:cs="Times New Roman" w:eastAsia="Times New Roman" w:hAnsi="Times New Roman"/>
          <w:i w:val="1"/>
          <w:iCs w:val="1"/>
          <w:sz w:val="24"/>
          <w:szCs w:val="24"/>
          <w:rtl w:val="0"/>
        </w:rPr>
        <w:t xml:space="preserve">Rhizobium</w:t>
      </w:r>
      <w:r w:rsidDel="00000000" w:rsidR="00000000" w:rsidRPr="00000000">
        <w:rPr>
          <w:rFonts w:ascii="Times New Roman" w:cs="Times New Roman" w:eastAsia="Times New Roman" w:hAnsi="Times New Roman"/>
          <w:sz w:val="24"/>
          <w:szCs w:val="24"/>
          <w:rtl w:val="0"/>
        </w:rPr>
        <w:t xml:space="preserve">. To determine what role pea aphid herbivory and </w:t>
      </w:r>
      <w:r w:rsidDel="00000000" w:rsidR="00000000" w:rsidRPr="00000000">
        <w:rPr>
          <w:rFonts w:ascii="Times New Roman" w:cs="Times New Roman" w:eastAsia="Times New Roman" w:hAnsi="Times New Roman"/>
          <w:i w:val="1"/>
          <w:iCs w:val="1"/>
          <w:sz w:val="24"/>
          <w:szCs w:val="24"/>
          <w:rtl w:val="0"/>
        </w:rPr>
        <w:t xml:space="preserve">Pea enation mosaic virus </w:t>
      </w:r>
      <w:r w:rsidDel="00000000" w:rsidR="00000000" w:rsidRPr="00000000">
        <w:rPr>
          <w:rFonts w:ascii="Times New Roman" w:cs="Times New Roman" w:eastAsia="Times New Roman" w:hAnsi="Times New Roman"/>
          <w:sz w:val="24"/>
          <w:szCs w:val="24"/>
          <w:rtl w:val="0"/>
        </w:rPr>
        <w:t xml:space="preserve">(PEMV) infection has on pea-rhizobia interactions, two cultivars of winter pea were inoculated with fluorescently tagged isogenic rhizobia strains of differing nitrogen fixation efficiency and exposed to different levels of biotic stress. Results indicate that the optimization of plant-microbe pairing may be a valuable tool in precision agriculture.</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2:30-3:00 </w:t>
      </w:r>
      <w:r w:rsidDel="00000000" w:rsidR="00000000" w:rsidRPr="00000000">
        <w:rPr>
          <w:rFonts w:ascii="Times New Roman" w:cs="Times New Roman" w:eastAsia="Times New Roman" w:hAnsi="Times New Roman"/>
          <w:b w:val="1"/>
          <w:bCs w:val="1"/>
          <w:sz w:val="24"/>
          <w:szCs w:val="24"/>
          <w:u w:val="single"/>
          <w:rtl w:val="0"/>
        </w:rPr>
        <w:t xml:space="preserve">Coffee Break </w:t>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3:00-5:00 Session II: </w:t>
      </w:r>
      <w:r w:rsidDel="00000000" w:rsidR="00000000" w:rsidRPr="00000000">
        <w:rPr>
          <w:rFonts w:ascii="Times New Roman" w:cs="Times New Roman" w:eastAsia="Times New Roman" w:hAnsi="Times New Roman"/>
          <w:sz w:val="24"/>
          <w:szCs w:val="24"/>
          <w:rtl w:val="0"/>
        </w:rPr>
        <w:t xml:space="preserve">Chair, </w:t>
      </w:r>
      <w:r w:rsidDel="00000000" w:rsidR="00000000" w:rsidRPr="00000000">
        <w:rPr>
          <w:rFonts w:ascii="Times New Roman" w:cs="Times New Roman" w:eastAsia="Times New Roman" w:hAnsi="Times New Roman"/>
          <w:b w:val="1"/>
          <w:bCs w:val="1"/>
          <w:sz w:val="24"/>
          <w:szCs w:val="24"/>
          <w:rtl w:val="0"/>
        </w:rPr>
        <w:t xml:space="preserve">Trinity Hanning (Institute of Biological Chemistry, MPS)</w:t>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Dr. Jacob Blauer (Department of Horticulture, MPS):</w:t>
      </w:r>
      <w:r w:rsidDel="00000000" w:rsidR="00000000" w:rsidRPr="00000000">
        <w:rPr>
          <w:rFonts w:ascii="Times New Roman" w:cs="Times New Roman" w:eastAsia="Times New Roman" w:hAnsi="Times New Roman"/>
          <w:i w:val="1"/>
          <w:iCs w:val="1"/>
          <w:sz w:val="24"/>
          <w:szCs w:val="24"/>
          <w:rtl w:val="0"/>
        </w:rPr>
        <w:t xml:space="preserve"> Beating the Heat: Potato Stress, Yield, and Quality - What We've Learned to Date</w:t>
      </w:r>
    </w:p>
    <w:p w:rsidR="00000000" w:rsidDel="00000000" w:rsidP="00000000" w:rsidRDefault="00000000" w:rsidRPr="00000000" w14:paraId="0000001E">
      <w:pPr>
        <w:ind w:left="28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Potatoes, as a temperate crop, require relatively mild conditions to achieve optimal yield and quality, making them particularly vulnerable to sustained and episodic heat events. Elevated and fluctuating temperatures disrupt both abiotic processes and plant responses to biotic stress, ultimately reducing productivity and performance. Over the past five years, the Blauer Lab has developed and implemented field-based experimental systems and approaches to better quantify environmental stress responses and integrate an interdisciplinary approach to address the challenges of a changing environment. </w:t>
      </w: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Jeremy Boutin (Institute of Biological Chemistry, MPS): </w:t>
      </w:r>
      <w:r w:rsidDel="00000000" w:rsidR="00000000" w:rsidRPr="00000000">
        <w:rPr>
          <w:rFonts w:ascii="Times New Roman" w:cs="Times New Roman" w:eastAsia="Times New Roman" w:hAnsi="Times New Roman"/>
          <w:i w:val="1"/>
          <w:iCs w:val="1"/>
          <w:sz w:val="24"/>
          <w:szCs w:val="24"/>
          <w:rtl w:val="0"/>
        </w:rPr>
        <w:t xml:space="preserve">Unravelling the Mechanism of Cannabis sativa Acyclic Monoterpene Synthases</w:t>
      </w:r>
    </w:p>
    <w:p w:rsidR="00000000" w:rsidDel="00000000" w:rsidP="00000000" w:rsidRDefault="00000000" w:rsidRPr="00000000" w14:paraId="00000021">
      <w:pPr>
        <w:ind w:left="2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My research project utilizes site-directed mutagenesis of active site residues in Cannabis sativa mono Terpene-Synthases (mTPSs) with Molecular Dynamics (MD) simulations to 1) identify key active site residues that confer product specificity in acyclic mTPSs, 2) evaluate why early carbocation deprotonation occurs in mTPSs that generate β-myrcene and/or (E)-β-ocimene while others accommodate additional carbocations to generate limonene, and 3) evaluate differences between acyclic mTPSs that generate β-myrcene from those that generate (E)-β-ocimene as a major product.</w:t>
      </w:r>
    </w:p>
    <w:p w:rsidR="00000000" w:rsidDel="00000000" w:rsidP="00000000" w:rsidRDefault="00000000" w:rsidRPr="00000000" w14:paraId="00000022">
      <w:pPr>
        <w:ind w:lef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Introduction of Keynote Speaker: Dr. Camille Steber (USDA, Crop and Soil Sciences, MPS)</w:t>
      </w:r>
    </w:p>
    <w:p w:rsidR="00000000" w:rsidDel="00000000" w:rsidP="00000000" w:rsidRDefault="00000000" w:rsidRPr="00000000" w14:paraId="00000024">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Dr. Shantel Martinez: </w:t>
      </w:r>
      <w:r w:rsidDel="00000000" w:rsidR="00000000" w:rsidRPr="00000000">
        <w:rPr>
          <w:rtl w:val="0"/>
        </w:rPr>
      </w:r>
    </w:p>
    <w:p w:rsidR="00000000" w:rsidDel="00000000" w:rsidP="00000000" w:rsidRDefault="00000000" w:rsidRPr="00000000" w14:paraId="00000026">
      <w:pPr>
        <w:ind w:left="28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u w:val="single"/>
          <w:rtl w:val="0"/>
        </w:rPr>
        <w:t xml:space="preserve">Synopsis: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Dr. Martinez is currently a tomato breeder at HM Clause stationed at their California research hub.  After graduating from both the Crop Sci (2013) and MPS (2018) departments she did a postdoc at Cornell. Post academia, she worked briefly at Bayer Crop Science followed by her current role at HM Clause, both industry roles within vegetable breeding.</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5:00-8:00 Buffet dinner and poster viewing CUE 5th Floor</w:t>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