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DF23" w14:textId="77777777" w:rsidR="001135C4" w:rsidRDefault="001135C4">
      <w:pPr>
        <w:rPr>
          <w:u w:val="single"/>
        </w:rPr>
      </w:pPr>
    </w:p>
    <w:p w14:paraId="1C111EF1" w14:textId="7D72C529" w:rsidR="00880172" w:rsidRPr="00776A29" w:rsidRDefault="001151DA">
      <w:pPr>
        <w:rPr>
          <w:u w:val="single"/>
        </w:rPr>
      </w:pPr>
      <w:r>
        <w:rPr>
          <w:u w:val="single"/>
        </w:rPr>
        <w:t>List of Purchases Exempt from Competition</w:t>
      </w:r>
      <w:r w:rsidR="00374850" w:rsidRPr="00776A29">
        <w:rPr>
          <w:u w:val="single"/>
        </w:rPr>
        <w:t>:</w:t>
      </w:r>
    </w:p>
    <w:p w14:paraId="57DCBDB2" w14:textId="77777777" w:rsidR="00374850" w:rsidRPr="00776A29" w:rsidRDefault="00374850" w:rsidP="00374850">
      <w:pPr>
        <w:pStyle w:val="ListParagraph"/>
        <w:numPr>
          <w:ilvl w:val="0"/>
          <w:numId w:val="1"/>
        </w:numPr>
        <w:rPr>
          <w:sz w:val="20"/>
          <w:szCs w:val="20"/>
        </w:rPr>
      </w:pPr>
      <w:r w:rsidRPr="00776A29">
        <w:rPr>
          <w:sz w:val="20"/>
          <w:szCs w:val="20"/>
        </w:rPr>
        <w:t>Original Equipment Manufacturer (OEM) maintenance service contracts and parts purchases when procured directly from the OEM.</w:t>
      </w:r>
    </w:p>
    <w:p w14:paraId="4A662DB4" w14:textId="77777777" w:rsidR="00374850" w:rsidRPr="00776A29" w:rsidRDefault="00374850" w:rsidP="00374850">
      <w:pPr>
        <w:pStyle w:val="ListParagraph"/>
        <w:numPr>
          <w:ilvl w:val="0"/>
          <w:numId w:val="1"/>
        </w:numPr>
        <w:rPr>
          <w:sz w:val="20"/>
          <w:szCs w:val="20"/>
        </w:rPr>
      </w:pPr>
      <w:r w:rsidRPr="00776A29">
        <w:rPr>
          <w:sz w:val="20"/>
          <w:szCs w:val="20"/>
        </w:rPr>
        <w:t>Software maintenance and support services when procured from the proprietary owner of the software.  Software maintenance and support from third party vendors does</w:t>
      </w:r>
      <w:r w:rsidR="0051689F" w:rsidRPr="00776A29">
        <w:rPr>
          <w:sz w:val="20"/>
          <w:szCs w:val="20"/>
        </w:rPr>
        <w:t xml:space="preserve"> not</w:t>
      </w:r>
      <w:r w:rsidRPr="00776A29">
        <w:rPr>
          <w:sz w:val="20"/>
          <w:szCs w:val="20"/>
        </w:rPr>
        <w:t xml:space="preserve"> qualify and must be competitively awarded or sole source justified.</w:t>
      </w:r>
    </w:p>
    <w:p w14:paraId="4CF43CA3" w14:textId="77777777" w:rsidR="00374850" w:rsidRPr="00776A29" w:rsidRDefault="00374850" w:rsidP="00374850">
      <w:pPr>
        <w:pStyle w:val="ListParagraph"/>
        <w:numPr>
          <w:ilvl w:val="0"/>
          <w:numId w:val="1"/>
        </w:numPr>
        <w:rPr>
          <w:sz w:val="20"/>
          <w:szCs w:val="20"/>
        </w:rPr>
      </w:pPr>
      <w:r w:rsidRPr="00776A29">
        <w:rPr>
          <w:sz w:val="20"/>
          <w:szCs w:val="20"/>
        </w:rPr>
        <w:t>Agreements where the vendor is specifically named in the grant or by legislation.  A copy of the grant documentation or the legislation where the vendor is named is required.</w:t>
      </w:r>
    </w:p>
    <w:p w14:paraId="50C728C8" w14:textId="77777777" w:rsidR="00374850" w:rsidRPr="00776A29" w:rsidRDefault="00374850" w:rsidP="00374850">
      <w:pPr>
        <w:pStyle w:val="ListParagraph"/>
        <w:numPr>
          <w:ilvl w:val="0"/>
          <w:numId w:val="1"/>
        </w:numPr>
        <w:rPr>
          <w:sz w:val="20"/>
          <w:szCs w:val="20"/>
        </w:rPr>
      </w:pPr>
      <w:r w:rsidRPr="00776A29">
        <w:rPr>
          <w:sz w:val="20"/>
          <w:szCs w:val="20"/>
        </w:rPr>
        <w:t>Inter-agency and inter-local agreements.</w:t>
      </w:r>
    </w:p>
    <w:p w14:paraId="03746C42" w14:textId="77777777" w:rsidR="00374850" w:rsidRPr="0003268A" w:rsidRDefault="00374850" w:rsidP="00374850">
      <w:pPr>
        <w:pStyle w:val="ListParagraph"/>
        <w:numPr>
          <w:ilvl w:val="0"/>
          <w:numId w:val="1"/>
        </w:numPr>
        <w:rPr>
          <w:sz w:val="20"/>
          <w:szCs w:val="20"/>
        </w:rPr>
      </w:pPr>
      <w:r w:rsidRPr="0003268A">
        <w:rPr>
          <w:sz w:val="20"/>
          <w:szCs w:val="20"/>
        </w:rPr>
        <w:t>Client Service contracts involving the direct provision of services to university clients.  A client is someone the university has the statutory obligation to serve or protect.  A justification</w:t>
      </w:r>
      <w:r w:rsidR="0051689F" w:rsidRPr="0003268A">
        <w:rPr>
          <w:sz w:val="20"/>
          <w:szCs w:val="20"/>
        </w:rPr>
        <w:t xml:space="preserve"> as to why a particular vendor</w:t>
      </w:r>
      <w:r w:rsidRPr="0003268A">
        <w:rPr>
          <w:sz w:val="20"/>
          <w:szCs w:val="20"/>
        </w:rPr>
        <w:t xml:space="preserve"> was chosen and is in the best interest of the client and/or university may be requested.</w:t>
      </w:r>
    </w:p>
    <w:p w14:paraId="2469CD29" w14:textId="77777777" w:rsidR="00374850" w:rsidRPr="00776A29" w:rsidRDefault="00374850" w:rsidP="00374850">
      <w:pPr>
        <w:pStyle w:val="ListParagraph"/>
        <w:numPr>
          <w:ilvl w:val="0"/>
          <w:numId w:val="1"/>
        </w:numPr>
        <w:rPr>
          <w:sz w:val="20"/>
          <w:szCs w:val="20"/>
        </w:rPr>
      </w:pPr>
      <w:r w:rsidRPr="00776A29">
        <w:rPr>
          <w:sz w:val="20"/>
          <w:szCs w:val="20"/>
        </w:rPr>
        <w:t>Postal and freight services.</w:t>
      </w:r>
    </w:p>
    <w:p w14:paraId="09F065AE" w14:textId="37122195" w:rsidR="00921FAE" w:rsidRPr="00776A29" w:rsidRDefault="00374850" w:rsidP="00374850">
      <w:pPr>
        <w:pStyle w:val="ListParagraph"/>
        <w:numPr>
          <w:ilvl w:val="0"/>
          <w:numId w:val="1"/>
        </w:numPr>
        <w:rPr>
          <w:sz w:val="20"/>
          <w:szCs w:val="20"/>
        </w:rPr>
      </w:pPr>
      <w:r w:rsidRPr="00776A29">
        <w:rPr>
          <w:sz w:val="20"/>
          <w:szCs w:val="20"/>
        </w:rPr>
        <w:t xml:space="preserve">Utilities such as garbage, heat, sewer, cable television, power, water, fire protection, </w:t>
      </w:r>
      <w:r w:rsidR="00921FAE" w:rsidRPr="00776A29">
        <w:rPr>
          <w:sz w:val="20"/>
          <w:szCs w:val="20"/>
        </w:rPr>
        <w:t>and recycle services.</w:t>
      </w:r>
    </w:p>
    <w:p w14:paraId="66797822" w14:textId="77777777" w:rsidR="00921FAE" w:rsidRPr="00776A29" w:rsidRDefault="00921FAE" w:rsidP="00374850">
      <w:pPr>
        <w:pStyle w:val="ListParagraph"/>
        <w:numPr>
          <w:ilvl w:val="0"/>
          <w:numId w:val="1"/>
        </w:numPr>
        <w:rPr>
          <w:sz w:val="20"/>
          <w:szCs w:val="20"/>
        </w:rPr>
      </w:pPr>
      <w:r w:rsidRPr="00776A29">
        <w:rPr>
          <w:sz w:val="20"/>
          <w:szCs w:val="20"/>
        </w:rPr>
        <w:t>Contracts and purchases related to professional development such as conferences, seminars, professional licenses and memberships, professional organizations, and professional publications.</w:t>
      </w:r>
      <w:r w:rsidR="004711B0" w:rsidRPr="00776A29">
        <w:rPr>
          <w:sz w:val="20"/>
          <w:szCs w:val="20"/>
        </w:rPr>
        <w:t xml:space="preserve">  This may include: registration, booth/room rentals, facilities, and directly related conference services and materials.</w:t>
      </w:r>
    </w:p>
    <w:p w14:paraId="5D02ABD5" w14:textId="77777777" w:rsidR="00921FAE" w:rsidRPr="00776A29" w:rsidRDefault="00921FAE" w:rsidP="00374850">
      <w:pPr>
        <w:pStyle w:val="ListParagraph"/>
        <w:numPr>
          <w:ilvl w:val="0"/>
          <w:numId w:val="1"/>
        </w:numPr>
        <w:rPr>
          <w:sz w:val="20"/>
          <w:szCs w:val="20"/>
        </w:rPr>
      </w:pPr>
      <w:r w:rsidRPr="00776A29">
        <w:rPr>
          <w:sz w:val="20"/>
          <w:szCs w:val="20"/>
        </w:rPr>
        <w:t>Replacement or repair of rental equipment when required by the rental agreement.</w:t>
      </w:r>
    </w:p>
    <w:p w14:paraId="4A86F168" w14:textId="77777777" w:rsidR="00921FAE" w:rsidRPr="00776A29" w:rsidRDefault="00921FAE" w:rsidP="00374850">
      <w:pPr>
        <w:pStyle w:val="ListParagraph"/>
        <w:numPr>
          <w:ilvl w:val="0"/>
          <w:numId w:val="1"/>
        </w:numPr>
        <w:rPr>
          <w:sz w:val="20"/>
          <w:szCs w:val="20"/>
        </w:rPr>
      </w:pPr>
      <w:r w:rsidRPr="00776A29">
        <w:rPr>
          <w:sz w:val="20"/>
          <w:szCs w:val="20"/>
        </w:rPr>
        <w:t>Mass media services (e.g. newspapers, journals, television, radio, or billboards) only when no comparable competition exists for reaching the target audience with the intended media type.  A justification memo may be needed to explain how the media channel chosen is the best to reach the target audience.</w:t>
      </w:r>
    </w:p>
    <w:p w14:paraId="35E7F341" w14:textId="6C465486" w:rsidR="000B333B" w:rsidRPr="00776A29" w:rsidRDefault="00921FAE" w:rsidP="00374850">
      <w:pPr>
        <w:pStyle w:val="ListParagraph"/>
        <w:numPr>
          <w:ilvl w:val="0"/>
          <w:numId w:val="1"/>
        </w:numPr>
        <w:rPr>
          <w:sz w:val="20"/>
          <w:szCs w:val="20"/>
        </w:rPr>
      </w:pPr>
      <w:r w:rsidRPr="00776A29">
        <w:rPr>
          <w:sz w:val="20"/>
          <w:szCs w:val="20"/>
        </w:rPr>
        <w:t>Used goods to include equipment, vehicles and furniture when no comparable competition exists.  Documentation including the reasonable market value of the used goods compared to new (e.g. Blue Book, NADA, market research) may be required.</w:t>
      </w:r>
    </w:p>
    <w:p w14:paraId="1E6BE19A" w14:textId="77777777" w:rsidR="000B333B" w:rsidRPr="00776A29" w:rsidRDefault="000B333B" w:rsidP="00374850">
      <w:pPr>
        <w:pStyle w:val="ListParagraph"/>
        <w:numPr>
          <w:ilvl w:val="0"/>
          <w:numId w:val="1"/>
        </w:numPr>
        <w:rPr>
          <w:sz w:val="20"/>
          <w:szCs w:val="20"/>
        </w:rPr>
      </w:pPr>
      <w:r w:rsidRPr="00776A29">
        <w:rPr>
          <w:sz w:val="20"/>
          <w:szCs w:val="20"/>
        </w:rPr>
        <w:t>Payment of invoices from 3</w:t>
      </w:r>
      <w:r w:rsidRPr="00776A29">
        <w:rPr>
          <w:sz w:val="20"/>
          <w:szCs w:val="20"/>
          <w:vertAlign w:val="superscript"/>
        </w:rPr>
        <w:t>rd</w:t>
      </w:r>
      <w:r w:rsidRPr="00776A29">
        <w:rPr>
          <w:sz w:val="20"/>
          <w:szCs w:val="20"/>
        </w:rPr>
        <w:t xml:space="preserve"> party building owners for facilities maintenance or improvements conducted by the building owner.  Such expenses must be in accordance with the lease agreement.</w:t>
      </w:r>
    </w:p>
    <w:p w14:paraId="2BBA9462" w14:textId="77777777" w:rsidR="004711B0" w:rsidRPr="00776A29" w:rsidRDefault="000B333B" w:rsidP="00374850">
      <w:pPr>
        <w:pStyle w:val="ListParagraph"/>
        <w:numPr>
          <w:ilvl w:val="0"/>
          <w:numId w:val="1"/>
        </w:numPr>
        <w:rPr>
          <w:sz w:val="20"/>
          <w:szCs w:val="20"/>
        </w:rPr>
      </w:pPr>
      <w:r w:rsidRPr="00776A29">
        <w:rPr>
          <w:sz w:val="20"/>
          <w:szCs w:val="20"/>
        </w:rPr>
        <w:t>Training services that are provided to all or most employees</w:t>
      </w:r>
      <w:r w:rsidR="004711B0" w:rsidRPr="00776A29">
        <w:rPr>
          <w:sz w:val="20"/>
          <w:szCs w:val="20"/>
        </w:rPr>
        <w:t>.  Training on equipment that comes from the OEM or OEM certified trainer when incidental to the overall cost of the equipment (10% or less of the equipment cost).</w:t>
      </w:r>
    </w:p>
    <w:p w14:paraId="2FDB395C" w14:textId="77777777" w:rsidR="004711B0" w:rsidRPr="00776A29" w:rsidRDefault="004711B0" w:rsidP="00374850">
      <w:pPr>
        <w:pStyle w:val="ListParagraph"/>
        <w:numPr>
          <w:ilvl w:val="0"/>
          <w:numId w:val="1"/>
        </w:numPr>
        <w:rPr>
          <w:sz w:val="20"/>
          <w:szCs w:val="20"/>
        </w:rPr>
      </w:pPr>
      <w:r w:rsidRPr="00776A29">
        <w:rPr>
          <w:sz w:val="20"/>
          <w:szCs w:val="20"/>
        </w:rPr>
        <w:t>Technical inspection, survey, or certification services and related expenses required for vessels, boilers, vehicles, and related equipment.</w:t>
      </w:r>
    </w:p>
    <w:p w14:paraId="08345C63" w14:textId="451224D4" w:rsidR="004711B0" w:rsidRPr="00776A29" w:rsidRDefault="004711B0" w:rsidP="00374850">
      <w:pPr>
        <w:pStyle w:val="ListParagraph"/>
        <w:numPr>
          <w:ilvl w:val="0"/>
          <w:numId w:val="1"/>
        </w:numPr>
        <w:rPr>
          <w:sz w:val="20"/>
          <w:szCs w:val="20"/>
        </w:rPr>
      </w:pPr>
      <w:r w:rsidRPr="00776A29">
        <w:rPr>
          <w:sz w:val="20"/>
          <w:szCs w:val="20"/>
        </w:rPr>
        <w:t>Costs for use of patented graphic design.</w:t>
      </w:r>
      <w:r w:rsidR="00ED3CD3" w:rsidRPr="00776A29">
        <w:rPr>
          <w:sz w:val="20"/>
          <w:szCs w:val="20"/>
        </w:rPr>
        <w:t xml:space="preserve"> </w:t>
      </w:r>
    </w:p>
    <w:p w14:paraId="5BC8ECE6" w14:textId="77777777" w:rsidR="004711B0" w:rsidRPr="00776A29" w:rsidRDefault="004711B0" w:rsidP="00374850">
      <w:pPr>
        <w:pStyle w:val="ListParagraph"/>
        <w:numPr>
          <w:ilvl w:val="0"/>
          <w:numId w:val="1"/>
        </w:numPr>
        <w:rPr>
          <w:sz w:val="20"/>
          <w:szCs w:val="20"/>
        </w:rPr>
      </w:pPr>
      <w:r w:rsidRPr="00776A29">
        <w:rPr>
          <w:sz w:val="20"/>
          <w:szCs w:val="20"/>
        </w:rPr>
        <w:t>Publications, subscriptions and information service directories in print or electronic format.</w:t>
      </w:r>
    </w:p>
    <w:p w14:paraId="46351077" w14:textId="77777777" w:rsidR="004711B0" w:rsidRPr="00776A29" w:rsidRDefault="004711B0" w:rsidP="00374850">
      <w:pPr>
        <w:pStyle w:val="ListParagraph"/>
        <w:numPr>
          <w:ilvl w:val="0"/>
          <w:numId w:val="1"/>
        </w:numPr>
        <w:rPr>
          <w:sz w:val="20"/>
          <w:szCs w:val="20"/>
        </w:rPr>
      </w:pPr>
      <w:r w:rsidRPr="00776A29">
        <w:rPr>
          <w:sz w:val="20"/>
          <w:szCs w:val="20"/>
        </w:rPr>
        <w:t>Laboratory analytical services.</w:t>
      </w:r>
    </w:p>
    <w:p w14:paraId="44BA77D2" w14:textId="045E1497" w:rsidR="004711B0" w:rsidRPr="00776A29" w:rsidRDefault="004711B0" w:rsidP="00395744">
      <w:pPr>
        <w:pStyle w:val="ListParagraph"/>
        <w:numPr>
          <w:ilvl w:val="0"/>
          <w:numId w:val="1"/>
        </w:numPr>
        <w:rPr>
          <w:sz w:val="20"/>
          <w:szCs w:val="20"/>
        </w:rPr>
      </w:pPr>
      <w:r w:rsidRPr="00776A29">
        <w:rPr>
          <w:sz w:val="20"/>
          <w:szCs w:val="20"/>
        </w:rPr>
        <w:t>Miscellaneous fees including: Court imposed fees,</w:t>
      </w:r>
      <w:r w:rsidR="00395744" w:rsidRPr="00776A29">
        <w:rPr>
          <w:sz w:val="20"/>
          <w:szCs w:val="20"/>
        </w:rPr>
        <w:t xml:space="preserve"> </w:t>
      </w:r>
      <w:r w:rsidRPr="00776A29">
        <w:rPr>
          <w:sz w:val="20"/>
          <w:szCs w:val="20"/>
        </w:rPr>
        <w:t>Fees for obtaining records,</w:t>
      </w:r>
      <w:r w:rsidR="00395744" w:rsidRPr="00776A29">
        <w:rPr>
          <w:sz w:val="20"/>
          <w:szCs w:val="20"/>
        </w:rPr>
        <w:t xml:space="preserve"> </w:t>
      </w:r>
      <w:r w:rsidRPr="00776A29">
        <w:rPr>
          <w:sz w:val="20"/>
          <w:szCs w:val="20"/>
        </w:rPr>
        <w:t>Costs associated with review boards,</w:t>
      </w:r>
      <w:r w:rsidR="00395744" w:rsidRPr="00776A29">
        <w:rPr>
          <w:sz w:val="20"/>
          <w:szCs w:val="20"/>
        </w:rPr>
        <w:t xml:space="preserve"> </w:t>
      </w:r>
      <w:r w:rsidRPr="00776A29">
        <w:rPr>
          <w:sz w:val="20"/>
          <w:szCs w:val="20"/>
        </w:rPr>
        <w:t>Juries and directly related materials and services,</w:t>
      </w:r>
      <w:r w:rsidR="00395744" w:rsidRPr="00776A29">
        <w:rPr>
          <w:sz w:val="20"/>
          <w:szCs w:val="20"/>
        </w:rPr>
        <w:t xml:space="preserve"> </w:t>
      </w:r>
      <w:r w:rsidRPr="00776A29">
        <w:rPr>
          <w:sz w:val="20"/>
          <w:szCs w:val="20"/>
        </w:rPr>
        <w:t>Court ordered attorney fees, Out of court settlement costs, Title insurance, Registration/cancellation fees, Transfer fees or other transaction fees,</w:t>
      </w:r>
      <w:r w:rsidR="00395744" w:rsidRPr="00776A29">
        <w:rPr>
          <w:sz w:val="20"/>
          <w:szCs w:val="20"/>
        </w:rPr>
        <w:t xml:space="preserve"> </w:t>
      </w:r>
      <w:r w:rsidRPr="00776A29">
        <w:rPr>
          <w:sz w:val="20"/>
          <w:szCs w:val="20"/>
        </w:rPr>
        <w:t xml:space="preserve">Customs and brokerage fees and duties associated with procurement of goods from foreign countries where such costs are not paid by </w:t>
      </w:r>
      <w:r w:rsidR="00395744" w:rsidRPr="00776A29">
        <w:rPr>
          <w:sz w:val="20"/>
          <w:szCs w:val="20"/>
        </w:rPr>
        <w:t xml:space="preserve">shipper, </w:t>
      </w:r>
      <w:r w:rsidRPr="00776A29">
        <w:rPr>
          <w:sz w:val="20"/>
          <w:szCs w:val="20"/>
        </w:rPr>
        <w:t>Permits or licenses i</w:t>
      </w:r>
      <w:r w:rsidR="00395744" w:rsidRPr="00776A29">
        <w:rPr>
          <w:sz w:val="20"/>
          <w:szCs w:val="20"/>
        </w:rPr>
        <w:t>ssued by a governmental agency.</w:t>
      </w:r>
      <w:r w:rsidRPr="00776A29">
        <w:rPr>
          <w:sz w:val="20"/>
          <w:szCs w:val="20"/>
        </w:rPr>
        <w:t xml:space="preserve"> </w:t>
      </w:r>
    </w:p>
    <w:p w14:paraId="40939884" w14:textId="77777777" w:rsidR="004711B0" w:rsidRPr="004711B0" w:rsidRDefault="004711B0" w:rsidP="004711B0"/>
    <w:p w14:paraId="794EE900" w14:textId="77777777" w:rsidR="00374850" w:rsidRDefault="00374850" w:rsidP="004711B0"/>
    <w:sectPr w:rsidR="003748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3E957" w14:textId="77777777" w:rsidR="006A256F" w:rsidRDefault="006A256F" w:rsidP="00395744">
      <w:pPr>
        <w:spacing w:after="0" w:line="240" w:lineRule="auto"/>
      </w:pPr>
      <w:r>
        <w:separator/>
      </w:r>
    </w:p>
  </w:endnote>
  <w:endnote w:type="continuationSeparator" w:id="0">
    <w:p w14:paraId="604F7981" w14:textId="77777777" w:rsidR="006A256F" w:rsidRDefault="006A256F" w:rsidP="00395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AA84" w14:textId="77777777" w:rsidR="001A5DEF" w:rsidRDefault="001A5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A241E" w14:textId="531E6086" w:rsidR="00395744" w:rsidRDefault="00395744">
    <w:pPr>
      <w:pStyle w:val="Footer"/>
    </w:pPr>
    <w:r>
      <w:t xml:space="preserve">REV </w:t>
    </w:r>
    <w:r w:rsidR="001A5DEF">
      <w:t>MAY</w:t>
    </w:r>
    <w:r>
      <w:t xml:space="preserve"> </w:t>
    </w:r>
    <w:r w:rsidR="001151DA">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8405" w14:textId="77777777" w:rsidR="001A5DEF" w:rsidRDefault="001A5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D8E8E" w14:textId="77777777" w:rsidR="006A256F" w:rsidRDefault="006A256F" w:rsidP="00395744">
      <w:pPr>
        <w:spacing w:after="0" w:line="240" w:lineRule="auto"/>
      </w:pPr>
      <w:r>
        <w:separator/>
      </w:r>
    </w:p>
  </w:footnote>
  <w:footnote w:type="continuationSeparator" w:id="0">
    <w:p w14:paraId="27BC41E2" w14:textId="77777777" w:rsidR="006A256F" w:rsidRDefault="006A256F" w:rsidP="00395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9BFC" w14:textId="77777777" w:rsidR="001A5DEF" w:rsidRDefault="001A5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4AA3" w14:textId="77777777" w:rsidR="001A5DEF" w:rsidRDefault="001A5D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A3346" w14:textId="77777777" w:rsidR="001A5DEF" w:rsidRDefault="001A5D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4253"/>
    <w:multiLevelType w:val="hybridMultilevel"/>
    <w:tmpl w:val="7D405E3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0C7791"/>
    <w:multiLevelType w:val="hybridMultilevel"/>
    <w:tmpl w:val="B3BA8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12FC9"/>
    <w:multiLevelType w:val="hybridMultilevel"/>
    <w:tmpl w:val="F7D6641E"/>
    <w:lvl w:ilvl="0" w:tplc="D2A469BC">
      <w:start w:val="1"/>
      <w:numFmt w:val="bullet"/>
      <w:lvlText w:val=""/>
      <w:lvlJc w:val="left"/>
      <w:pPr>
        <w:tabs>
          <w:tab w:val="num" w:pos="1080"/>
        </w:tabs>
        <w:ind w:left="1080" w:hanging="360"/>
      </w:pPr>
      <w:rPr>
        <w:rFonts w:ascii="Symbol" w:hAnsi="Symbol" w:hint="default"/>
      </w:rPr>
    </w:lvl>
    <w:lvl w:ilvl="1" w:tplc="A9D6F988">
      <w:start w:val="1"/>
      <w:numFmt w:val="bullet"/>
      <w:lvlText w:val="o"/>
      <w:lvlJc w:val="left"/>
      <w:pPr>
        <w:tabs>
          <w:tab w:val="num" w:pos="1800"/>
        </w:tabs>
        <w:ind w:left="1800" w:hanging="360"/>
      </w:pPr>
      <w:rPr>
        <w:rFonts w:ascii="Courier New" w:hAnsi="Courier New" w:cs="Courier New" w:hint="default"/>
      </w:rPr>
    </w:lvl>
    <w:lvl w:ilvl="2" w:tplc="722EBAF0" w:tentative="1">
      <w:start w:val="1"/>
      <w:numFmt w:val="bullet"/>
      <w:lvlText w:val=""/>
      <w:lvlJc w:val="left"/>
      <w:pPr>
        <w:tabs>
          <w:tab w:val="num" w:pos="2520"/>
        </w:tabs>
        <w:ind w:left="2520" w:hanging="360"/>
      </w:pPr>
      <w:rPr>
        <w:rFonts w:ascii="Wingdings" w:hAnsi="Wingdings" w:hint="default"/>
      </w:rPr>
    </w:lvl>
    <w:lvl w:ilvl="3" w:tplc="3F3073FA" w:tentative="1">
      <w:start w:val="1"/>
      <w:numFmt w:val="bullet"/>
      <w:lvlText w:val=""/>
      <w:lvlJc w:val="left"/>
      <w:pPr>
        <w:tabs>
          <w:tab w:val="num" w:pos="3240"/>
        </w:tabs>
        <w:ind w:left="3240" w:hanging="360"/>
      </w:pPr>
      <w:rPr>
        <w:rFonts w:ascii="Symbol" w:hAnsi="Symbol" w:hint="default"/>
      </w:rPr>
    </w:lvl>
    <w:lvl w:ilvl="4" w:tplc="9D100570" w:tentative="1">
      <w:start w:val="1"/>
      <w:numFmt w:val="bullet"/>
      <w:lvlText w:val="o"/>
      <w:lvlJc w:val="left"/>
      <w:pPr>
        <w:tabs>
          <w:tab w:val="num" w:pos="3960"/>
        </w:tabs>
        <w:ind w:left="3960" w:hanging="360"/>
      </w:pPr>
      <w:rPr>
        <w:rFonts w:ascii="Courier New" w:hAnsi="Courier New" w:cs="Courier New" w:hint="default"/>
      </w:rPr>
    </w:lvl>
    <w:lvl w:ilvl="5" w:tplc="E10E8344" w:tentative="1">
      <w:start w:val="1"/>
      <w:numFmt w:val="bullet"/>
      <w:lvlText w:val=""/>
      <w:lvlJc w:val="left"/>
      <w:pPr>
        <w:tabs>
          <w:tab w:val="num" w:pos="4680"/>
        </w:tabs>
        <w:ind w:left="4680" w:hanging="360"/>
      </w:pPr>
      <w:rPr>
        <w:rFonts w:ascii="Wingdings" w:hAnsi="Wingdings" w:hint="default"/>
      </w:rPr>
    </w:lvl>
    <w:lvl w:ilvl="6" w:tplc="52EA577E" w:tentative="1">
      <w:start w:val="1"/>
      <w:numFmt w:val="bullet"/>
      <w:lvlText w:val=""/>
      <w:lvlJc w:val="left"/>
      <w:pPr>
        <w:tabs>
          <w:tab w:val="num" w:pos="5400"/>
        </w:tabs>
        <w:ind w:left="5400" w:hanging="360"/>
      </w:pPr>
      <w:rPr>
        <w:rFonts w:ascii="Symbol" w:hAnsi="Symbol" w:hint="default"/>
      </w:rPr>
    </w:lvl>
    <w:lvl w:ilvl="7" w:tplc="026435DE" w:tentative="1">
      <w:start w:val="1"/>
      <w:numFmt w:val="bullet"/>
      <w:lvlText w:val="o"/>
      <w:lvlJc w:val="left"/>
      <w:pPr>
        <w:tabs>
          <w:tab w:val="num" w:pos="6120"/>
        </w:tabs>
        <w:ind w:left="6120" w:hanging="360"/>
      </w:pPr>
      <w:rPr>
        <w:rFonts w:ascii="Courier New" w:hAnsi="Courier New" w:cs="Courier New" w:hint="default"/>
      </w:rPr>
    </w:lvl>
    <w:lvl w:ilvl="8" w:tplc="E4705678" w:tentative="1">
      <w:start w:val="1"/>
      <w:numFmt w:val="bullet"/>
      <w:lvlText w:val=""/>
      <w:lvlJc w:val="left"/>
      <w:pPr>
        <w:tabs>
          <w:tab w:val="num" w:pos="6840"/>
        </w:tabs>
        <w:ind w:left="6840" w:hanging="360"/>
      </w:pPr>
      <w:rPr>
        <w:rFonts w:ascii="Wingdings" w:hAnsi="Wingdings" w:hint="default"/>
      </w:rPr>
    </w:lvl>
  </w:abstractNum>
  <w:num w:numId="1" w16cid:durableId="1121800311">
    <w:abstractNumId w:val="1"/>
  </w:num>
  <w:num w:numId="2" w16cid:durableId="166334126">
    <w:abstractNumId w:val="2"/>
  </w:num>
  <w:num w:numId="3" w16cid:durableId="839930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850"/>
    <w:rsid w:val="0003268A"/>
    <w:rsid w:val="000B333B"/>
    <w:rsid w:val="001135C4"/>
    <w:rsid w:val="001151DA"/>
    <w:rsid w:val="001A5DEF"/>
    <w:rsid w:val="00374850"/>
    <w:rsid w:val="00383D45"/>
    <w:rsid w:val="00395744"/>
    <w:rsid w:val="004711B0"/>
    <w:rsid w:val="0051689F"/>
    <w:rsid w:val="006A256F"/>
    <w:rsid w:val="00776A29"/>
    <w:rsid w:val="00880172"/>
    <w:rsid w:val="00921FAE"/>
    <w:rsid w:val="00970B4A"/>
    <w:rsid w:val="00985429"/>
    <w:rsid w:val="00CA3125"/>
    <w:rsid w:val="00D467B0"/>
    <w:rsid w:val="00DC18C1"/>
    <w:rsid w:val="00DD3F1B"/>
    <w:rsid w:val="00ED3CD3"/>
    <w:rsid w:val="00ED6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A083A"/>
  <w15:chartTrackingRefBased/>
  <w15:docId w15:val="{11EB71F9-F088-48E4-8DBA-F3D68F48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850"/>
    <w:pPr>
      <w:ind w:left="720"/>
      <w:contextualSpacing/>
    </w:pPr>
  </w:style>
  <w:style w:type="paragraph" w:styleId="BodyText">
    <w:name w:val="Body Text"/>
    <w:basedOn w:val="Normal"/>
    <w:link w:val="BodyTextChar"/>
    <w:rsid w:val="004711B0"/>
    <w:pPr>
      <w:spacing w:after="0" w:line="240" w:lineRule="exact"/>
      <w:ind w:left="7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711B0"/>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CA3125"/>
    <w:rPr>
      <w:sz w:val="16"/>
      <w:szCs w:val="16"/>
    </w:rPr>
  </w:style>
  <w:style w:type="paragraph" w:styleId="CommentText">
    <w:name w:val="annotation text"/>
    <w:basedOn w:val="Normal"/>
    <w:link w:val="CommentTextChar"/>
    <w:uiPriority w:val="99"/>
    <w:semiHidden/>
    <w:unhideWhenUsed/>
    <w:rsid w:val="00CA3125"/>
    <w:pPr>
      <w:spacing w:line="240" w:lineRule="auto"/>
    </w:pPr>
    <w:rPr>
      <w:sz w:val="20"/>
      <w:szCs w:val="20"/>
    </w:rPr>
  </w:style>
  <w:style w:type="character" w:customStyle="1" w:styleId="CommentTextChar">
    <w:name w:val="Comment Text Char"/>
    <w:basedOn w:val="DefaultParagraphFont"/>
    <w:link w:val="CommentText"/>
    <w:uiPriority w:val="99"/>
    <w:semiHidden/>
    <w:rsid w:val="00CA3125"/>
    <w:rPr>
      <w:sz w:val="20"/>
      <w:szCs w:val="20"/>
    </w:rPr>
  </w:style>
  <w:style w:type="paragraph" w:styleId="CommentSubject">
    <w:name w:val="annotation subject"/>
    <w:basedOn w:val="CommentText"/>
    <w:next w:val="CommentText"/>
    <w:link w:val="CommentSubjectChar"/>
    <w:uiPriority w:val="99"/>
    <w:semiHidden/>
    <w:unhideWhenUsed/>
    <w:rsid w:val="00CA3125"/>
    <w:rPr>
      <w:b/>
      <w:bCs/>
    </w:rPr>
  </w:style>
  <w:style w:type="character" w:customStyle="1" w:styleId="CommentSubjectChar">
    <w:name w:val="Comment Subject Char"/>
    <w:basedOn w:val="CommentTextChar"/>
    <w:link w:val="CommentSubject"/>
    <w:uiPriority w:val="99"/>
    <w:semiHidden/>
    <w:rsid w:val="00CA3125"/>
    <w:rPr>
      <w:b/>
      <w:bCs/>
      <w:sz w:val="20"/>
      <w:szCs w:val="20"/>
    </w:rPr>
  </w:style>
  <w:style w:type="paragraph" w:styleId="BalloonText">
    <w:name w:val="Balloon Text"/>
    <w:basedOn w:val="Normal"/>
    <w:link w:val="BalloonTextChar"/>
    <w:uiPriority w:val="99"/>
    <w:semiHidden/>
    <w:unhideWhenUsed/>
    <w:rsid w:val="00CA3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125"/>
    <w:rPr>
      <w:rFonts w:ascii="Segoe UI" w:hAnsi="Segoe UI" w:cs="Segoe UI"/>
      <w:sz w:val="18"/>
      <w:szCs w:val="18"/>
    </w:rPr>
  </w:style>
  <w:style w:type="paragraph" w:styleId="Header">
    <w:name w:val="header"/>
    <w:basedOn w:val="Normal"/>
    <w:link w:val="HeaderChar"/>
    <w:uiPriority w:val="99"/>
    <w:unhideWhenUsed/>
    <w:rsid w:val="00395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744"/>
  </w:style>
  <w:style w:type="paragraph" w:styleId="Footer">
    <w:name w:val="footer"/>
    <w:basedOn w:val="Normal"/>
    <w:link w:val="FooterChar"/>
    <w:uiPriority w:val="99"/>
    <w:unhideWhenUsed/>
    <w:rsid w:val="00395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Eric Michael</dc:creator>
  <cp:keywords/>
  <dc:description/>
  <cp:lastModifiedBy>Rogers, Eric Michael</cp:lastModifiedBy>
  <cp:revision>3</cp:revision>
  <dcterms:created xsi:type="dcterms:W3CDTF">2024-05-31T20:47:00Z</dcterms:created>
  <dcterms:modified xsi:type="dcterms:W3CDTF">2024-05-31T20:50:00Z</dcterms:modified>
</cp:coreProperties>
</file>