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EC89" w14:textId="50CE108E" w:rsidR="00196836" w:rsidRPr="00517F75" w:rsidRDefault="006F325D">
      <w:pPr>
        <w:pStyle w:val="Title"/>
        <w:jc w:val="center"/>
        <w:rPr>
          <w:color w:val="981E32"/>
        </w:rPr>
      </w:pPr>
      <w:r w:rsidRPr="00517F75">
        <w:rPr>
          <w:color w:val="981E32"/>
        </w:rPr>
        <w:t xml:space="preserve">WSU Subrecipient Risk Assessment </w:t>
      </w:r>
      <w:r w:rsidR="00E305B6" w:rsidRPr="00517F75">
        <w:rPr>
          <w:color w:val="981E32"/>
        </w:rPr>
        <w:br/>
        <w:t>Pre-award Process</w:t>
      </w:r>
    </w:p>
    <w:p w14:paraId="454D2F97" w14:textId="77777777" w:rsidR="00196836" w:rsidRPr="00EA7EDC" w:rsidRDefault="006F325D">
      <w:pPr>
        <w:pStyle w:val="Heading1"/>
        <w:rPr>
          <w:color w:val="981E32"/>
        </w:rPr>
      </w:pPr>
      <w:r w:rsidRPr="00EA7EDC">
        <w:rPr>
          <w:color w:val="981E32"/>
        </w:rPr>
        <w:t>Purpose</w:t>
      </w:r>
    </w:p>
    <w:p w14:paraId="65778BBE" w14:textId="77777777" w:rsidR="00E305B6" w:rsidRPr="00E305B6" w:rsidRDefault="00E305B6" w:rsidP="00E305B6">
      <w:r>
        <w:t xml:space="preserve">To evaluate the risk of issuing a subaward to a subrecipient and determine appropriate monitoring and award terms. </w:t>
      </w:r>
      <w:r w:rsidRPr="00E305B6">
        <w:t>This process:</w:t>
      </w:r>
    </w:p>
    <w:p w14:paraId="3638EFE9" w14:textId="77777777" w:rsidR="00E305B6" w:rsidRPr="00E305B6" w:rsidRDefault="00E305B6" w:rsidP="00E305B6">
      <w:pPr>
        <w:numPr>
          <w:ilvl w:val="0"/>
          <w:numId w:val="10"/>
        </w:numPr>
        <w:spacing w:after="0"/>
      </w:pPr>
      <w:r w:rsidRPr="00E305B6">
        <w:t>Protects WSU and sponsor funds from financial and compliance risks.</w:t>
      </w:r>
    </w:p>
    <w:p w14:paraId="41588919" w14:textId="77777777" w:rsidR="00E305B6" w:rsidRPr="00E305B6" w:rsidRDefault="00E305B6" w:rsidP="00E305B6">
      <w:pPr>
        <w:numPr>
          <w:ilvl w:val="0"/>
          <w:numId w:val="10"/>
        </w:numPr>
        <w:spacing w:after="0"/>
      </w:pPr>
      <w:r w:rsidRPr="00E305B6">
        <w:t>Confirms eligibility and capacity of the subrecipient under federal regulations (2 CFR 200.330–332).</w:t>
      </w:r>
    </w:p>
    <w:p w14:paraId="7C905A8C" w14:textId="4883A14E" w:rsidR="00E305B6" w:rsidRPr="00E305B6" w:rsidRDefault="00E305B6" w:rsidP="00E305B6">
      <w:pPr>
        <w:numPr>
          <w:ilvl w:val="0"/>
          <w:numId w:val="10"/>
        </w:numPr>
        <w:spacing w:after="0"/>
      </w:pPr>
      <w:r w:rsidRPr="00E305B6">
        <w:t>Identifies potential</w:t>
      </w:r>
      <w:r w:rsidRPr="00E305B6">
        <w:rPr>
          <w:b/>
          <w:bCs/>
        </w:rPr>
        <w:t xml:space="preserve"> risks</w:t>
      </w:r>
      <w:r>
        <w:t xml:space="preserve"> - </w:t>
      </w:r>
      <w:r w:rsidRPr="00E305B6">
        <w:t>financial, institutional, and technical—so appropriate monitoring, terms, and conditions can be applied.</w:t>
      </w:r>
    </w:p>
    <w:p w14:paraId="48EE9E3A" w14:textId="77777777" w:rsidR="00E305B6" w:rsidRPr="00E305B6" w:rsidRDefault="00E305B6" w:rsidP="00E305B6">
      <w:pPr>
        <w:numPr>
          <w:ilvl w:val="0"/>
          <w:numId w:val="10"/>
        </w:numPr>
        <w:spacing w:after="0"/>
      </w:pPr>
      <w:r w:rsidRPr="00E305B6">
        <w:t>Guides escalation and oversight based on risk level, ensuring transparency and accountability from proposal through closeout.</w:t>
      </w:r>
    </w:p>
    <w:p w14:paraId="33A43E1E" w14:textId="7CCFF617" w:rsidR="00196836" w:rsidRPr="00EA7EDC" w:rsidRDefault="006F325D" w:rsidP="00E305B6">
      <w:pPr>
        <w:pStyle w:val="Heading1"/>
        <w:rPr>
          <w:color w:val="981E32"/>
        </w:rPr>
      </w:pPr>
      <w:r w:rsidRPr="00EA7EDC">
        <w:rPr>
          <w:color w:val="981E32"/>
        </w:rPr>
        <w:t>Overview</w:t>
      </w:r>
    </w:p>
    <w:p w14:paraId="1CB960B5" w14:textId="5EF4FDA5" w:rsidR="00E305B6" w:rsidRDefault="006F325D" w:rsidP="00E305B6">
      <w:r>
        <w:t>Risk assessment combines:</w:t>
      </w:r>
      <w:r w:rsidR="00E305B6">
        <w:t xml:space="preserve"> </w:t>
      </w:r>
    </w:p>
    <w:p w14:paraId="6B544A28" w14:textId="77777777" w:rsidR="00E305B6" w:rsidRDefault="006F325D" w:rsidP="00E305B6">
      <w:pPr>
        <w:pStyle w:val="ListParagraph"/>
        <w:numPr>
          <w:ilvl w:val="0"/>
          <w:numId w:val="13"/>
        </w:numPr>
      </w:pPr>
      <w:r>
        <w:t>Compliance checks (SAM.gov, FDP Clearinghouse, audit reports)</w:t>
      </w:r>
      <w:r w:rsidR="00E305B6">
        <w:t xml:space="preserve"> </w:t>
      </w:r>
    </w:p>
    <w:p w14:paraId="6C2267C8" w14:textId="77777777" w:rsidR="00E305B6" w:rsidRDefault="006F325D" w:rsidP="00E305B6">
      <w:pPr>
        <w:pStyle w:val="ListParagraph"/>
        <w:numPr>
          <w:ilvl w:val="0"/>
          <w:numId w:val="13"/>
        </w:numPr>
      </w:pPr>
      <w:r>
        <w:t>Financial health review</w:t>
      </w:r>
      <w:r w:rsidR="00E305B6">
        <w:t xml:space="preserve"> </w:t>
      </w:r>
    </w:p>
    <w:p w14:paraId="4FE4F527" w14:textId="77777777" w:rsidR="00E305B6" w:rsidRDefault="006F325D" w:rsidP="00E305B6">
      <w:pPr>
        <w:pStyle w:val="ListParagraph"/>
        <w:numPr>
          <w:ilvl w:val="0"/>
          <w:numId w:val="13"/>
        </w:numPr>
      </w:pPr>
      <w:r>
        <w:t>Experience and capacity evaluation</w:t>
      </w:r>
      <w:r w:rsidR="00E305B6">
        <w:t xml:space="preserve"> </w:t>
      </w:r>
    </w:p>
    <w:p w14:paraId="11D76A71" w14:textId="77777777" w:rsidR="00E305B6" w:rsidRDefault="006F325D" w:rsidP="00E305B6">
      <w:pPr>
        <w:pStyle w:val="ListParagraph"/>
        <w:numPr>
          <w:ilvl w:val="0"/>
          <w:numId w:val="13"/>
        </w:numPr>
      </w:pPr>
      <w:r>
        <w:t>Scoring using WSU Risk Assessment Form (Excel tool)</w:t>
      </w:r>
    </w:p>
    <w:p w14:paraId="3EEFE050" w14:textId="101B1C4A" w:rsidR="00196836" w:rsidRDefault="006F325D" w:rsidP="00E305B6">
      <w:r>
        <w:t>The outcome determines if the subrecipient is Low, Medium, or High Risk, guiding monitoring and award conditions.</w:t>
      </w:r>
    </w:p>
    <w:p w14:paraId="3C69E1F3" w14:textId="450DF0EF" w:rsidR="007A4037" w:rsidRPr="007A4037" w:rsidRDefault="007A4037" w:rsidP="007A4037">
      <w:pPr>
        <w:pStyle w:val="Heading1"/>
        <w:rPr>
          <w:color w:val="981E32"/>
        </w:rPr>
      </w:pPr>
      <w:r w:rsidRPr="00EA7EDC">
        <w:rPr>
          <w:color w:val="981E32"/>
        </w:rPr>
        <w:t>Process steps</w:t>
      </w:r>
      <w:r>
        <w:rPr>
          <w:color w:val="981E32"/>
        </w:rPr>
        <w:t>:</w:t>
      </w:r>
    </w:p>
    <w:p w14:paraId="4365A7F9" w14:textId="3A405580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t>Step 1: Gather Basic Information</w:t>
      </w:r>
    </w:p>
    <w:p w14:paraId="70151F24" w14:textId="0EC42787" w:rsidR="00B95ECA" w:rsidRDefault="000C249C">
      <w:r>
        <w:t xml:space="preserve">Once </w:t>
      </w:r>
      <w:r w:rsidR="001F6C70">
        <w:t xml:space="preserve">the </w:t>
      </w:r>
      <w:r>
        <w:t>Office of Research receive</w:t>
      </w:r>
      <w:r w:rsidR="0014776D">
        <w:t xml:space="preserve">s the </w:t>
      </w:r>
      <w:hyperlink r:id="rId6" w:history="1">
        <w:r w:rsidR="0014776D" w:rsidRPr="00C91E34">
          <w:rPr>
            <w:rStyle w:val="Hyperlink"/>
          </w:rPr>
          <w:t>Subrecipient</w:t>
        </w:r>
        <w:r w:rsidR="0014776D" w:rsidRPr="00C91E34">
          <w:rPr>
            <w:rStyle w:val="Hyperlink"/>
            <w:spacing w:val="-4"/>
          </w:rPr>
          <w:t xml:space="preserve"> </w:t>
        </w:r>
        <w:r w:rsidR="0014776D" w:rsidRPr="00C91E34">
          <w:rPr>
            <w:rStyle w:val="Hyperlink"/>
          </w:rPr>
          <w:t>/</w:t>
        </w:r>
        <w:r w:rsidR="0014776D" w:rsidRPr="00C91E34">
          <w:rPr>
            <w:rStyle w:val="Hyperlink"/>
            <w:spacing w:val="-3"/>
          </w:rPr>
          <w:t xml:space="preserve"> </w:t>
        </w:r>
        <w:r w:rsidR="0014776D" w:rsidRPr="00C91E34">
          <w:rPr>
            <w:rStyle w:val="Hyperlink"/>
          </w:rPr>
          <w:t>Initiation</w:t>
        </w:r>
        <w:r w:rsidR="0014776D" w:rsidRPr="00C91E34">
          <w:rPr>
            <w:rStyle w:val="Hyperlink"/>
            <w:spacing w:val="-3"/>
          </w:rPr>
          <w:t xml:space="preserve"> </w:t>
        </w:r>
        <w:r w:rsidR="0014776D" w:rsidRPr="00C91E34">
          <w:rPr>
            <w:rStyle w:val="Hyperlink"/>
            <w:spacing w:val="-2"/>
          </w:rPr>
          <w:t>form</w:t>
        </w:r>
      </w:hyperlink>
      <w:r w:rsidR="001F6C70">
        <w:rPr>
          <w:spacing w:val="-2"/>
        </w:rPr>
        <w:t xml:space="preserve"> from the department</w:t>
      </w:r>
      <w:r w:rsidR="0014776D">
        <w:rPr>
          <w:spacing w:val="-2"/>
        </w:rPr>
        <w:t xml:space="preserve"> it is reviewed for the </w:t>
      </w:r>
      <w:r w:rsidR="00B95ECA">
        <w:rPr>
          <w:spacing w:val="-2"/>
        </w:rPr>
        <w:t>following:</w:t>
      </w:r>
      <w:r>
        <w:t xml:space="preserve"> </w:t>
      </w:r>
      <w:r w:rsidR="00B95ECA">
        <w:t xml:space="preserve"> </w:t>
      </w:r>
    </w:p>
    <w:p w14:paraId="2AAEF905" w14:textId="77777777" w:rsidR="00B95ECA" w:rsidRDefault="006F325D" w:rsidP="00B95ECA">
      <w:pPr>
        <w:pStyle w:val="ListParagraph"/>
        <w:numPr>
          <w:ilvl w:val="0"/>
          <w:numId w:val="14"/>
        </w:numPr>
      </w:pPr>
      <w:r>
        <w:t>Subrecipient name, PI name (full name with middle initial)</w:t>
      </w:r>
      <w:r w:rsidR="00B95ECA">
        <w:t xml:space="preserve"> </w:t>
      </w:r>
    </w:p>
    <w:p w14:paraId="255EB17E" w14:textId="77777777" w:rsidR="00B95ECA" w:rsidRDefault="006F325D" w:rsidP="00B95ECA">
      <w:pPr>
        <w:pStyle w:val="ListParagraph"/>
        <w:numPr>
          <w:ilvl w:val="0"/>
          <w:numId w:val="14"/>
        </w:numPr>
      </w:pPr>
      <w:r>
        <w:t>Location (City, State, Country)</w:t>
      </w:r>
      <w:r w:rsidR="00B95ECA">
        <w:t xml:space="preserve"> </w:t>
      </w:r>
    </w:p>
    <w:p w14:paraId="6FA78837" w14:textId="77777777" w:rsidR="00B95ECA" w:rsidRDefault="006F325D" w:rsidP="00B95ECA">
      <w:pPr>
        <w:pStyle w:val="ListParagraph"/>
        <w:numPr>
          <w:ilvl w:val="0"/>
          <w:numId w:val="14"/>
        </w:numPr>
      </w:pPr>
      <w:r>
        <w:t>ORSO number</w:t>
      </w:r>
      <w:r w:rsidR="00B95ECA">
        <w:t xml:space="preserve"> </w:t>
      </w:r>
    </w:p>
    <w:p w14:paraId="2DE9D18D" w14:textId="4D67D6DC" w:rsidR="00196836" w:rsidRDefault="006F325D" w:rsidP="00B95ECA">
      <w:pPr>
        <w:pStyle w:val="ListParagraph"/>
        <w:numPr>
          <w:ilvl w:val="0"/>
          <w:numId w:val="14"/>
        </w:numPr>
      </w:pPr>
      <w:r>
        <w:t xml:space="preserve">UEI number </w:t>
      </w:r>
      <w:r w:rsidRPr="00897BA4">
        <w:t xml:space="preserve">(required for </w:t>
      </w:r>
      <w:commentRangeStart w:id="0"/>
      <w:r w:rsidRPr="00897BA4">
        <w:t>funding</w:t>
      </w:r>
      <w:commentRangeEnd w:id="0"/>
      <w:r w:rsidR="001E291A" w:rsidRPr="00897BA4">
        <w:rPr>
          <w:rStyle w:val="CommentReference"/>
        </w:rPr>
        <w:commentReference w:id="0"/>
      </w:r>
      <w:r w:rsidRPr="00897BA4">
        <w:t>)</w:t>
      </w:r>
    </w:p>
    <w:p w14:paraId="7E18DCBE" w14:textId="77777777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lastRenderedPageBreak/>
        <w:t>Step 2: Compliance Screening</w:t>
      </w:r>
    </w:p>
    <w:p w14:paraId="5B446D61" w14:textId="311BF5C3" w:rsidR="000140F4" w:rsidRDefault="006F325D" w:rsidP="000140F4">
      <w:r>
        <w:t>To confirm the entity is eligible and not debarred</w:t>
      </w:r>
      <w:r w:rsidR="00023668">
        <w:t>, and to prevent awards to ineligible entities.</w:t>
      </w:r>
    </w:p>
    <w:p w14:paraId="126F34D8" w14:textId="7AE2E4C3" w:rsidR="00F421AC" w:rsidRPr="00ED6DD3" w:rsidRDefault="009A40A5" w:rsidP="00ED6DD3">
      <w:pPr>
        <w:pStyle w:val="ListParagraph"/>
        <w:numPr>
          <w:ilvl w:val="0"/>
          <w:numId w:val="17"/>
        </w:numPr>
        <w:tabs>
          <w:tab w:val="left" w:pos="819"/>
          <w:tab w:val="left" w:pos="821"/>
        </w:tabs>
        <w:ind w:right="411"/>
        <w:jc w:val="both"/>
        <w:rPr>
          <w:spacing w:val="-2"/>
        </w:rPr>
      </w:pPr>
      <w:r>
        <w:t xml:space="preserve">Request a Visual Compliance Check for </w:t>
      </w:r>
      <w:r w:rsidR="000140F4">
        <w:t xml:space="preserve">the </w:t>
      </w:r>
      <w:r w:rsidR="00F421AC">
        <w:t>Entity</w:t>
      </w:r>
      <w:r>
        <w:t xml:space="preserve"> and PI</w:t>
      </w:r>
      <w:r w:rsidR="000140F4">
        <w:t xml:space="preserve"> </w:t>
      </w:r>
      <w:r w:rsidR="00ED6DD3">
        <w:br/>
      </w:r>
      <w:r w:rsidR="00F421AC">
        <w:t>(</w:t>
      </w:r>
      <w:r w:rsidR="00F421AC" w:rsidRPr="00ED6DD3">
        <w:rPr>
          <w:spacing w:val="-2"/>
        </w:rPr>
        <w:t>Current WSU contact handling Visual Compliance: Doug Cuellar.</w:t>
      </w:r>
      <w:r w:rsidR="00ED6DD3" w:rsidRPr="00ED6DD3">
        <w:rPr>
          <w:spacing w:val="-2"/>
        </w:rPr>
        <w:t>)</w:t>
      </w:r>
    </w:p>
    <w:p w14:paraId="420CDC4D" w14:textId="76372422" w:rsidR="009A40A5" w:rsidRDefault="006F325D" w:rsidP="000140F4">
      <w:pPr>
        <w:pStyle w:val="ListParagraph"/>
        <w:numPr>
          <w:ilvl w:val="0"/>
          <w:numId w:val="15"/>
        </w:numPr>
      </w:pPr>
      <w:r>
        <w:t>Verify SAM.gov registration</w:t>
      </w:r>
      <w:r w:rsidR="00CB32F2">
        <w:t xml:space="preserve"> in </w:t>
      </w:r>
      <w:hyperlink r:id="rId11" w:history="1">
        <w:r w:rsidR="00033535">
          <w:rPr>
            <w:rStyle w:val="Hyperlink"/>
          </w:rPr>
          <w:t>SAM.gov</w:t>
        </w:r>
      </w:hyperlink>
      <w:r>
        <w:t>:</w:t>
      </w:r>
    </w:p>
    <w:p w14:paraId="0F84D83C" w14:textId="77777777" w:rsidR="009A40A5" w:rsidRDefault="006F325D" w:rsidP="009A40A5">
      <w:pPr>
        <w:pStyle w:val="ListParagraph"/>
        <w:numPr>
          <w:ilvl w:val="0"/>
          <w:numId w:val="16"/>
        </w:numPr>
      </w:pPr>
      <w:r>
        <w:t>UEI is correct</w:t>
      </w:r>
    </w:p>
    <w:p w14:paraId="3090DA3C" w14:textId="77777777" w:rsidR="009A40A5" w:rsidRDefault="006F325D" w:rsidP="009A40A5">
      <w:pPr>
        <w:pStyle w:val="ListParagraph"/>
        <w:numPr>
          <w:ilvl w:val="0"/>
          <w:numId w:val="16"/>
        </w:numPr>
      </w:pPr>
      <w:r>
        <w:t>Registration active (check expiration date)</w:t>
      </w:r>
    </w:p>
    <w:p w14:paraId="22F68638" w14:textId="77777777" w:rsidR="009A40A5" w:rsidRDefault="006F325D" w:rsidP="009A40A5">
      <w:pPr>
        <w:pStyle w:val="ListParagraph"/>
        <w:numPr>
          <w:ilvl w:val="0"/>
          <w:numId w:val="16"/>
        </w:numPr>
      </w:pPr>
      <w:r>
        <w:t>No “Debt Subject to Offset” (indicates delinquent federal debt)</w:t>
      </w:r>
    </w:p>
    <w:p w14:paraId="1AD97304" w14:textId="0A359A94" w:rsidR="00196836" w:rsidRDefault="006F325D" w:rsidP="009A40A5">
      <w:pPr>
        <w:pStyle w:val="ListParagraph"/>
        <w:numPr>
          <w:ilvl w:val="0"/>
          <w:numId w:val="16"/>
        </w:numPr>
        <w:tabs>
          <w:tab w:val="left" w:pos="720"/>
        </w:tabs>
        <w:ind w:hanging="1080"/>
      </w:pPr>
      <w:r>
        <w:t>Save SAM.gov PDF for records</w:t>
      </w:r>
      <w:r w:rsidR="009A40A5">
        <w:t xml:space="preserve"> in </w:t>
      </w:r>
      <w:proofErr w:type="spellStart"/>
      <w:proofErr w:type="gramStart"/>
      <w:r w:rsidR="009A40A5">
        <w:t>myResearch</w:t>
      </w:r>
      <w:proofErr w:type="spellEnd"/>
      <w:r w:rsidR="009A40A5">
        <w:t>.</w:t>
      </w:r>
      <w:r w:rsidR="001E291A">
        <w:t>(</w:t>
      </w:r>
      <w:proofErr w:type="gramEnd"/>
      <w:r w:rsidR="001E291A">
        <w:t>Workday)</w:t>
      </w:r>
    </w:p>
    <w:p w14:paraId="231E1C06" w14:textId="60065EED" w:rsidR="00196836" w:rsidRDefault="006F325D" w:rsidP="007A4037">
      <w:pPr>
        <w:pStyle w:val="Heading1"/>
        <w:shd w:val="clear" w:color="auto" w:fill="F2F2F2" w:themeFill="background1" w:themeFillShade="F2"/>
      </w:pPr>
      <w:r w:rsidRPr="00EA7EDC">
        <w:rPr>
          <w:color w:val="981E32"/>
        </w:rPr>
        <w:t>Step 3: Check FDP Expanded Clearinghouse</w:t>
      </w:r>
      <w:r w:rsidR="00C15010">
        <w:t xml:space="preserve"> </w:t>
      </w:r>
      <w:hyperlink r:id="rId12" w:history="1">
        <w:r w:rsidR="00C15010" w:rsidRPr="00C15010">
          <w:rPr>
            <w:rStyle w:val="Hyperlink"/>
          </w:rPr>
          <w:t>here</w:t>
        </w:r>
      </w:hyperlink>
    </w:p>
    <w:p w14:paraId="58537778" w14:textId="77777777" w:rsidR="00072DB2" w:rsidRDefault="006F325D" w:rsidP="00072DB2">
      <w:pPr>
        <w:pStyle w:val="ListParagraph"/>
        <w:numPr>
          <w:ilvl w:val="0"/>
          <w:numId w:val="18"/>
        </w:numPr>
      </w:pPr>
      <w:r>
        <w:t>Reduces administrative burden and provides audit info.</w:t>
      </w:r>
    </w:p>
    <w:p w14:paraId="6974544C" w14:textId="2F43C52B" w:rsidR="00C15010" w:rsidRDefault="006F325D" w:rsidP="00072DB2">
      <w:pPr>
        <w:pStyle w:val="ListParagraph"/>
        <w:numPr>
          <w:ilvl w:val="0"/>
          <w:numId w:val="18"/>
        </w:numPr>
      </w:pPr>
      <w:r>
        <w:t xml:space="preserve">If listed, download </w:t>
      </w:r>
      <w:r w:rsidR="00C15010">
        <w:t xml:space="preserve">the profile and the </w:t>
      </w:r>
      <w:r>
        <w:t>Single Audit report</w:t>
      </w:r>
      <w:r w:rsidR="005C6EF5">
        <w:t xml:space="preserve"> for review</w:t>
      </w:r>
      <w:r>
        <w:t>.</w:t>
      </w:r>
      <w:r w:rsidR="00C15010">
        <w:t xml:space="preserve"> </w:t>
      </w:r>
    </w:p>
    <w:p w14:paraId="5525D52A" w14:textId="67560114" w:rsidR="00196836" w:rsidRDefault="006F325D" w:rsidP="00072DB2">
      <w:pPr>
        <w:pStyle w:val="ListParagraph"/>
        <w:numPr>
          <w:ilvl w:val="0"/>
          <w:numId w:val="18"/>
        </w:numPr>
      </w:pPr>
      <w:r>
        <w:t>If not listed, request financial statements or audit reports from the entity.</w:t>
      </w:r>
    </w:p>
    <w:p w14:paraId="276F94EF" w14:textId="77777777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t>Step 4: Review Financial Health</w:t>
      </w:r>
    </w:p>
    <w:p w14:paraId="247031BA" w14:textId="50A077D8" w:rsidR="00553E49" w:rsidRPr="00553E49" w:rsidRDefault="008C7F22" w:rsidP="005F6EB2">
      <w:pPr>
        <w:numPr>
          <w:ilvl w:val="0"/>
          <w:numId w:val="19"/>
        </w:numPr>
        <w:spacing w:after="0"/>
      </w:pPr>
      <w:r w:rsidRPr="007A4037">
        <w:rPr>
          <w:shd w:val="clear" w:color="auto" w:fill="F2F2F2" w:themeFill="background1" w:themeFillShade="F2"/>
        </w:rPr>
        <w:t>To ensure funds are managed responsib</w:t>
      </w:r>
      <w:r w:rsidR="00CB608B" w:rsidRPr="007A4037">
        <w:rPr>
          <w:shd w:val="clear" w:color="auto" w:fill="F2F2F2" w:themeFill="background1" w:themeFillShade="F2"/>
        </w:rPr>
        <w:t>ly</w:t>
      </w:r>
      <w:r w:rsidRPr="007A4037">
        <w:rPr>
          <w:shd w:val="clear" w:color="auto" w:fill="F2F2F2" w:themeFill="background1" w:themeFillShade="F2"/>
        </w:rPr>
        <w:br/>
      </w:r>
      <w:r w:rsidR="00F366F2">
        <w:t>Review</w:t>
      </w:r>
      <w:r w:rsidR="00553E49" w:rsidRPr="00553E49">
        <w:t xml:space="preserve"> </w:t>
      </w:r>
    </w:p>
    <w:p w14:paraId="7F307B9E" w14:textId="77777777" w:rsidR="00553E49" w:rsidRPr="00553E49" w:rsidRDefault="00553E49" w:rsidP="005F6EB2">
      <w:pPr>
        <w:numPr>
          <w:ilvl w:val="1"/>
          <w:numId w:val="19"/>
        </w:numPr>
        <w:spacing w:after="0"/>
      </w:pPr>
      <w:r w:rsidRPr="00553E49">
        <w:t>Asset-to-liability ratio</w:t>
      </w:r>
    </w:p>
    <w:p w14:paraId="02034E72" w14:textId="77777777" w:rsidR="00553E49" w:rsidRPr="00553E49" w:rsidRDefault="00553E49" w:rsidP="005F6EB2">
      <w:pPr>
        <w:numPr>
          <w:ilvl w:val="1"/>
          <w:numId w:val="19"/>
        </w:numPr>
        <w:spacing w:after="0"/>
      </w:pPr>
      <w:r w:rsidRPr="00553E49">
        <w:t>Net profit margin</w:t>
      </w:r>
    </w:p>
    <w:p w14:paraId="53E50A35" w14:textId="77777777" w:rsidR="00553E49" w:rsidRPr="00553E49" w:rsidRDefault="00553E49" w:rsidP="005F6EB2">
      <w:pPr>
        <w:numPr>
          <w:ilvl w:val="1"/>
          <w:numId w:val="19"/>
        </w:numPr>
        <w:spacing w:after="0"/>
      </w:pPr>
      <w:r w:rsidRPr="00553E49">
        <w:t>Cash flow coverage</w:t>
      </w:r>
    </w:p>
    <w:p w14:paraId="14C58633" w14:textId="77777777" w:rsidR="00553E49" w:rsidRPr="00553E49" w:rsidRDefault="00553E49" w:rsidP="005F6EB2">
      <w:pPr>
        <w:numPr>
          <w:ilvl w:val="0"/>
          <w:numId w:val="19"/>
        </w:numPr>
        <w:spacing w:after="0"/>
      </w:pPr>
      <w:r w:rsidRPr="00553E49">
        <w:t>Review audit findings for material weaknesses or questioned costs.</w:t>
      </w:r>
    </w:p>
    <w:p w14:paraId="768231DA" w14:textId="77777777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t>Step 5: Complete WSU Risk Assessment Form (Excel)</w:t>
      </w:r>
    </w:p>
    <w:p w14:paraId="19FEB0B0" w14:textId="5CFC6674" w:rsidR="00906D2C" w:rsidRPr="00906D2C" w:rsidRDefault="00702694" w:rsidP="00702694">
      <w:pPr>
        <w:spacing w:after="0"/>
      </w:pPr>
      <w:r>
        <w:t>To provide an objective score for consistent decisions.</w:t>
      </w:r>
      <w:r>
        <w:br/>
      </w:r>
      <w:r>
        <w:br/>
        <w:t>U</w:t>
      </w:r>
      <w:r w:rsidR="00CD6C4F">
        <w:t xml:space="preserve">se the </w:t>
      </w:r>
      <w:r w:rsidR="00906D2C" w:rsidRPr="00906D2C">
        <w:t xml:space="preserve">WSU </w:t>
      </w:r>
      <w:r w:rsidR="000E3FA1">
        <w:t xml:space="preserve">Subaward </w:t>
      </w:r>
      <w:r w:rsidR="00906D2C" w:rsidRPr="00906D2C">
        <w:t>Risk A</w:t>
      </w:r>
      <w:r w:rsidR="000E3FA1">
        <w:t>nalysis</w:t>
      </w:r>
      <w:r w:rsidR="00906D2C" w:rsidRPr="00906D2C">
        <w:t xml:space="preserve"> Form.</w:t>
      </w:r>
    </w:p>
    <w:p w14:paraId="5ACCFF24" w14:textId="77777777" w:rsidR="00906D2C" w:rsidRPr="00906D2C" w:rsidRDefault="00906D2C" w:rsidP="00702694">
      <w:pPr>
        <w:numPr>
          <w:ilvl w:val="0"/>
          <w:numId w:val="20"/>
        </w:numPr>
        <w:spacing w:after="0"/>
      </w:pPr>
      <w:r w:rsidRPr="00906D2C">
        <w:t xml:space="preserve">Answer questions in two sections: </w:t>
      </w:r>
    </w:p>
    <w:p w14:paraId="0564F28E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Institutional Factors (e.g., foreign vs. domestic, maturity, prior experience, audit status)</w:t>
      </w:r>
    </w:p>
    <w:p w14:paraId="0CB9E956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Project Factors (e.g., award type, dollar amount, % subcontracted, human/animal subjects)</w:t>
      </w:r>
    </w:p>
    <w:p w14:paraId="5339411D" w14:textId="1DAFCA43" w:rsidR="00906D2C" w:rsidRPr="00906D2C" w:rsidRDefault="00906D2C" w:rsidP="00702694">
      <w:pPr>
        <w:numPr>
          <w:ilvl w:val="0"/>
          <w:numId w:val="20"/>
        </w:numPr>
        <w:spacing w:after="0"/>
      </w:pPr>
      <w:r w:rsidRPr="00906D2C">
        <w:t xml:space="preserve">Each question has Low, Medium, </w:t>
      </w:r>
      <w:r w:rsidR="00CD6C4F">
        <w:t xml:space="preserve">and </w:t>
      </w:r>
      <w:r w:rsidR="00B45B53" w:rsidRPr="00906D2C">
        <w:t>High-risk</w:t>
      </w:r>
      <w:r w:rsidRPr="00906D2C">
        <w:t xml:space="preserve"> options with assigned weights.</w:t>
      </w:r>
    </w:p>
    <w:p w14:paraId="5683CA34" w14:textId="77777777" w:rsidR="00906D2C" w:rsidRPr="00906D2C" w:rsidRDefault="00906D2C" w:rsidP="00702694">
      <w:pPr>
        <w:numPr>
          <w:ilvl w:val="0"/>
          <w:numId w:val="20"/>
        </w:numPr>
        <w:spacing w:after="0"/>
      </w:pPr>
      <w:r w:rsidRPr="00906D2C">
        <w:t xml:space="preserve">The form calculates a Total Risk Score: </w:t>
      </w:r>
    </w:p>
    <w:p w14:paraId="18F11079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Low Risk: 0–50</w:t>
      </w:r>
    </w:p>
    <w:p w14:paraId="7311B4CA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Medium Risk: 51–75</w:t>
      </w:r>
    </w:p>
    <w:p w14:paraId="0951AA7D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High Risk: 76–99</w:t>
      </w:r>
    </w:p>
    <w:p w14:paraId="1D062FB1" w14:textId="77777777" w:rsidR="00906D2C" w:rsidRPr="00906D2C" w:rsidRDefault="00906D2C" w:rsidP="00702694">
      <w:pPr>
        <w:numPr>
          <w:ilvl w:val="1"/>
          <w:numId w:val="20"/>
        </w:numPr>
        <w:spacing w:after="0"/>
      </w:pPr>
      <w:r w:rsidRPr="00906D2C">
        <w:t>Extreme Risk: 100+</w:t>
      </w:r>
    </w:p>
    <w:p w14:paraId="795E4B1D" w14:textId="77777777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lastRenderedPageBreak/>
        <w:t>Step 6: Determine Risk Level &amp; Document</w:t>
      </w:r>
    </w:p>
    <w:p w14:paraId="414B91B8" w14:textId="0E55430E" w:rsidR="002D2198" w:rsidRPr="002D2198" w:rsidRDefault="006F325D" w:rsidP="002D2198">
      <w:pPr>
        <w:spacing w:after="0"/>
      </w:pPr>
      <w:r>
        <w:t xml:space="preserve">Risk level drives </w:t>
      </w:r>
      <w:r w:rsidR="002D2198">
        <w:t xml:space="preserve">the </w:t>
      </w:r>
      <w:r>
        <w:t>monitoring</w:t>
      </w:r>
      <w:r w:rsidR="00B45B53">
        <w:t xml:space="preserve"> plan</w:t>
      </w:r>
      <w:r>
        <w:t xml:space="preserve"> and award conditions.</w:t>
      </w:r>
      <w:r>
        <w:br/>
      </w:r>
      <w:r>
        <w:br/>
      </w:r>
      <w:r w:rsidR="002D2198" w:rsidRPr="002D2198">
        <w:t xml:space="preserve">Record: </w:t>
      </w:r>
    </w:p>
    <w:p w14:paraId="1C333DD2" w14:textId="77777777" w:rsidR="006332C0" w:rsidRDefault="002D2198" w:rsidP="002D2198">
      <w:pPr>
        <w:numPr>
          <w:ilvl w:val="0"/>
          <w:numId w:val="21"/>
        </w:numPr>
        <w:spacing w:after="0"/>
      </w:pPr>
      <w:r w:rsidRPr="002D2198">
        <w:t>Risk score and level</w:t>
      </w:r>
    </w:p>
    <w:p w14:paraId="56608776" w14:textId="77777777" w:rsidR="006332C0" w:rsidRDefault="002D2198" w:rsidP="002D2198">
      <w:pPr>
        <w:numPr>
          <w:ilvl w:val="0"/>
          <w:numId w:val="21"/>
        </w:numPr>
        <w:spacing w:after="0"/>
      </w:pPr>
      <w:r w:rsidRPr="002D2198">
        <w:t xml:space="preserve">Upload to Workday under “Maintain Subrecipient Risk Records.” </w:t>
      </w:r>
    </w:p>
    <w:p w14:paraId="31747F76" w14:textId="0B62DE39" w:rsidR="00196836" w:rsidRDefault="002D2198" w:rsidP="002D2198">
      <w:pPr>
        <w:numPr>
          <w:ilvl w:val="0"/>
          <w:numId w:val="21"/>
        </w:numPr>
        <w:spacing w:after="0"/>
      </w:pPr>
      <w:r w:rsidRPr="00C57001">
        <w:t xml:space="preserve">Log in </w:t>
      </w:r>
      <w:r w:rsidR="00897BA4" w:rsidRPr="00C57001">
        <w:t>Workday/</w:t>
      </w:r>
      <w:proofErr w:type="spellStart"/>
      <w:r w:rsidRPr="00C57001">
        <w:t>MyResearch</w:t>
      </w:r>
      <w:proofErr w:type="spellEnd"/>
      <w:r w:rsidRPr="00C57001">
        <w:t xml:space="preserve"> for tracking</w:t>
      </w:r>
      <w:r w:rsidRPr="002D2198">
        <w:t>.</w:t>
      </w:r>
    </w:p>
    <w:p w14:paraId="5D4AA94F" w14:textId="77777777" w:rsidR="00196836" w:rsidRPr="00EA7EDC" w:rsidRDefault="006F325D" w:rsidP="007A4037">
      <w:pPr>
        <w:pStyle w:val="Heading1"/>
        <w:shd w:val="clear" w:color="auto" w:fill="F2F2F2" w:themeFill="background1" w:themeFillShade="F2"/>
        <w:rPr>
          <w:color w:val="981E32"/>
        </w:rPr>
      </w:pPr>
      <w:r w:rsidRPr="00EA7EDC">
        <w:rPr>
          <w:color w:val="981E32"/>
        </w:rPr>
        <w:t>Step 7: Apply Risk-Based Conditions</w:t>
      </w:r>
    </w:p>
    <w:p w14:paraId="2F574AE4" w14:textId="6F41A134" w:rsidR="001E291A" w:rsidRDefault="006F325D" w:rsidP="00052EC9">
      <w:r>
        <w:t>To mitigate identified risks.</w:t>
      </w:r>
      <w:r w:rsidR="00092E4F">
        <w:t xml:space="preserve"> </w:t>
      </w:r>
      <w:r>
        <w:br/>
        <w:t>For High Risk subrecipients, consider:</w:t>
      </w:r>
    </w:p>
    <w:p w14:paraId="730DEA84" w14:textId="694D34EF" w:rsidR="001E291A" w:rsidRPr="00C57001" w:rsidRDefault="001E291A" w:rsidP="001E291A">
      <w:pPr>
        <w:pStyle w:val="ListParagraph"/>
        <w:numPr>
          <w:ilvl w:val="0"/>
          <w:numId w:val="23"/>
        </w:numPr>
      </w:pPr>
      <w:r w:rsidRPr="00C57001">
        <w:t>Communication with Department, PI, SPS</w:t>
      </w:r>
      <w:r w:rsidR="00230221" w:rsidRPr="00C57001">
        <w:t>,</w:t>
      </w:r>
      <w:r w:rsidRPr="00C57001">
        <w:t xml:space="preserve"> </w:t>
      </w:r>
      <w:r w:rsidR="00230221" w:rsidRPr="00C57001">
        <w:t xml:space="preserve">AOR </w:t>
      </w:r>
      <w:r w:rsidRPr="00C57001">
        <w:t xml:space="preserve">and </w:t>
      </w:r>
      <w:r w:rsidR="00230221" w:rsidRPr="00C57001">
        <w:t>agency</w:t>
      </w:r>
    </w:p>
    <w:p w14:paraId="39715E09" w14:textId="2998783C" w:rsidR="00052EC9" w:rsidRPr="00052EC9" w:rsidRDefault="00052EC9" w:rsidP="00052EC9">
      <w:pPr>
        <w:pStyle w:val="ListParagraph"/>
        <w:numPr>
          <w:ilvl w:val="0"/>
          <w:numId w:val="22"/>
        </w:numPr>
      </w:pPr>
      <w:r w:rsidRPr="00052EC9">
        <w:t xml:space="preserve">Technical assistance or training </w:t>
      </w:r>
    </w:p>
    <w:p w14:paraId="144E1491" w14:textId="03B1FC71" w:rsidR="00196836" w:rsidRDefault="00052EC9" w:rsidP="001E291A">
      <w:pPr>
        <w:pStyle w:val="ListParagraph"/>
        <w:numPr>
          <w:ilvl w:val="1"/>
          <w:numId w:val="22"/>
        </w:numPr>
      </w:pPr>
      <w:r w:rsidRPr="00052EC9">
        <w:t>More frequent monitoring</w:t>
      </w:r>
    </w:p>
    <w:p w14:paraId="072C14C1" w14:textId="77777777" w:rsidR="00A81FFD" w:rsidRDefault="00A81FFD" w:rsidP="001E291A">
      <w:pPr>
        <w:pStyle w:val="ListParagraph"/>
        <w:numPr>
          <w:ilvl w:val="1"/>
          <w:numId w:val="22"/>
        </w:numPr>
      </w:pPr>
      <w:r w:rsidRPr="00052EC9">
        <w:t xml:space="preserve">Reimbursement-only payments </w:t>
      </w:r>
    </w:p>
    <w:p w14:paraId="5EAA62AB" w14:textId="77777777" w:rsidR="001E291A" w:rsidRDefault="00A81FFD" w:rsidP="001E291A">
      <w:pPr>
        <w:pStyle w:val="ListParagraph"/>
        <w:numPr>
          <w:ilvl w:val="1"/>
          <w:numId w:val="22"/>
        </w:numPr>
      </w:pPr>
      <w:r w:rsidRPr="00052EC9">
        <w:t>Prior approvals for major expenses</w:t>
      </w:r>
    </w:p>
    <w:p w14:paraId="61C3A398" w14:textId="77777777" w:rsidR="001E291A" w:rsidRDefault="001E291A" w:rsidP="001E291A">
      <w:pPr>
        <w:pStyle w:val="ListParagraph"/>
        <w:ind w:left="1440"/>
      </w:pPr>
    </w:p>
    <w:p w14:paraId="200E23C9" w14:textId="2711D318" w:rsidR="001E291A" w:rsidRPr="00C57001" w:rsidRDefault="001E291A" w:rsidP="001E291A">
      <w:pPr>
        <w:pStyle w:val="ListParagraph"/>
        <w:numPr>
          <w:ilvl w:val="0"/>
          <w:numId w:val="22"/>
        </w:numPr>
      </w:pPr>
      <w:r w:rsidRPr="00C57001">
        <w:t xml:space="preserve">Consider Enforcement and amend the </w:t>
      </w:r>
      <w:r w:rsidR="00B6492B" w:rsidRPr="00C57001">
        <w:t>contract; accordingly,</w:t>
      </w:r>
      <w:r w:rsidRPr="00C57001">
        <w:t xml:space="preserve"> might need to contact the funding agency.</w:t>
      </w:r>
    </w:p>
    <w:p w14:paraId="331C07E5" w14:textId="0ACEE7D4" w:rsidR="00D62A09" w:rsidRDefault="00D62A09" w:rsidP="00D62A09">
      <w:pPr>
        <w:pStyle w:val="ListParagraph"/>
        <w:numPr>
          <w:ilvl w:val="1"/>
          <w:numId w:val="22"/>
        </w:numPr>
      </w:pPr>
      <w:r w:rsidRPr="00D62A09">
        <w:t xml:space="preserve">Disallow </w:t>
      </w:r>
      <w:proofErr w:type="gramStart"/>
      <w:r w:rsidRPr="00D62A09">
        <w:t>cost</w:t>
      </w:r>
      <w:proofErr w:type="gramEnd"/>
      <w:r w:rsidRPr="00D62A09">
        <w:t xml:space="preserve"> for all or part of the activity associated with the non-compliance and withhold payments.</w:t>
      </w:r>
    </w:p>
    <w:p w14:paraId="0482D6E5" w14:textId="77777777" w:rsidR="00D62A09" w:rsidRPr="00D62A09" w:rsidRDefault="00D62A09" w:rsidP="00D62A09">
      <w:pPr>
        <w:pStyle w:val="ListParagraph"/>
        <w:numPr>
          <w:ilvl w:val="1"/>
          <w:numId w:val="22"/>
        </w:numPr>
      </w:pPr>
      <w:r w:rsidRPr="00D62A09">
        <w:t>Suspend or terminate the funding for the subrecipient</w:t>
      </w:r>
    </w:p>
    <w:p w14:paraId="2F8D8695" w14:textId="77777777" w:rsidR="00D62A09" w:rsidRPr="00D62A09" w:rsidRDefault="00D62A09" w:rsidP="00D62A09">
      <w:pPr>
        <w:pStyle w:val="ListParagraph"/>
        <w:numPr>
          <w:ilvl w:val="1"/>
          <w:numId w:val="22"/>
        </w:numPr>
      </w:pPr>
      <w:r w:rsidRPr="00D62A09">
        <w:t>Suspend or terminate the subaward</w:t>
      </w:r>
    </w:p>
    <w:p w14:paraId="28BF99D6" w14:textId="6BFA1A1C" w:rsidR="00D62A09" w:rsidRPr="00D62A09" w:rsidRDefault="00D62A09" w:rsidP="00CC70D3">
      <w:pPr>
        <w:pStyle w:val="ListParagraph"/>
        <w:numPr>
          <w:ilvl w:val="1"/>
          <w:numId w:val="22"/>
        </w:numPr>
      </w:pPr>
      <w:r w:rsidRPr="00D62A09">
        <w:t>Initiate the suspension or debarment proceedings as authorized in 2 CFR Part 180</w:t>
      </w:r>
    </w:p>
    <w:p w14:paraId="0B1AF5F8" w14:textId="77777777" w:rsidR="006F325D" w:rsidRPr="00395008" w:rsidRDefault="006F325D" w:rsidP="00395008">
      <w:pPr>
        <w:rPr>
          <w:b/>
          <w:bCs/>
        </w:rPr>
      </w:pPr>
      <w:r w:rsidRPr="00395008">
        <w:rPr>
          <w:b/>
          <w:bCs/>
        </w:rPr>
        <w:t>Escalation for Extreme Risk</w:t>
      </w:r>
    </w:p>
    <w:p w14:paraId="245AD881" w14:textId="5323C64B" w:rsidR="006F325D" w:rsidRPr="006F325D" w:rsidRDefault="006F325D" w:rsidP="00395008">
      <w:r w:rsidRPr="006F325D">
        <w:t xml:space="preserve">If the risk score is </w:t>
      </w:r>
      <w:r w:rsidRPr="00395008">
        <w:rPr>
          <w:b/>
          <w:bCs/>
        </w:rPr>
        <w:t>Extreme</w:t>
      </w:r>
      <w:r w:rsidRPr="006F325D">
        <w:t>, and the PI insists on proceeding:</w:t>
      </w:r>
    </w:p>
    <w:p w14:paraId="4C308330" w14:textId="77777777" w:rsidR="006F325D" w:rsidRPr="006F325D" w:rsidRDefault="006F325D" w:rsidP="006F325D">
      <w:pPr>
        <w:pStyle w:val="ListParagraph"/>
        <w:numPr>
          <w:ilvl w:val="0"/>
          <w:numId w:val="24"/>
        </w:numPr>
      </w:pPr>
      <w:r w:rsidRPr="006F325D">
        <w:t xml:space="preserve">Notify: </w:t>
      </w:r>
    </w:p>
    <w:p w14:paraId="7C25965C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Department leadership</w:t>
      </w:r>
    </w:p>
    <w:p w14:paraId="49064407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Sponsored Programs Services (SPS)</w:t>
      </w:r>
    </w:p>
    <w:p w14:paraId="106C9D15" w14:textId="77777777" w:rsidR="006F325D" w:rsidRDefault="006F325D" w:rsidP="006F325D">
      <w:pPr>
        <w:pStyle w:val="ListParagraph"/>
        <w:numPr>
          <w:ilvl w:val="1"/>
          <w:numId w:val="24"/>
        </w:numPr>
      </w:pPr>
      <w:r w:rsidRPr="006F325D">
        <w:t>Authorized Organizational Representative (AOR)</w:t>
      </w:r>
    </w:p>
    <w:p w14:paraId="03715D0A" w14:textId="16D95A44" w:rsidR="00D00192" w:rsidRPr="006F325D" w:rsidRDefault="00D00192" w:rsidP="006F325D">
      <w:pPr>
        <w:pStyle w:val="ListParagraph"/>
        <w:numPr>
          <w:ilvl w:val="1"/>
          <w:numId w:val="24"/>
        </w:numPr>
      </w:pPr>
      <w:r>
        <w:t>Agency</w:t>
      </w:r>
    </w:p>
    <w:p w14:paraId="31D2EE9E" w14:textId="77777777" w:rsidR="006F325D" w:rsidRPr="006F325D" w:rsidRDefault="006F325D" w:rsidP="006F325D">
      <w:pPr>
        <w:pStyle w:val="ListParagraph"/>
        <w:numPr>
          <w:ilvl w:val="0"/>
          <w:numId w:val="24"/>
        </w:numPr>
      </w:pPr>
      <w:r w:rsidRPr="006F325D">
        <w:t xml:space="preserve">Document: </w:t>
      </w:r>
    </w:p>
    <w:p w14:paraId="041901E3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Risk factors and rationale for proceeding</w:t>
      </w:r>
    </w:p>
    <w:p w14:paraId="4E6A16D0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PI acknowledgment of risk</w:t>
      </w:r>
    </w:p>
    <w:p w14:paraId="56FA0FFD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Meeting notes and approvals</w:t>
      </w:r>
    </w:p>
    <w:p w14:paraId="5244425D" w14:textId="77777777" w:rsidR="006F325D" w:rsidRPr="006F325D" w:rsidRDefault="006F325D" w:rsidP="006F325D">
      <w:pPr>
        <w:pStyle w:val="ListParagraph"/>
        <w:numPr>
          <w:ilvl w:val="0"/>
          <w:numId w:val="24"/>
        </w:numPr>
      </w:pPr>
      <w:r w:rsidRPr="006F325D">
        <w:t xml:space="preserve">Ensure: </w:t>
      </w:r>
    </w:p>
    <w:p w14:paraId="1FB2C161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Additional monitoring and restrictive terms are applied</w:t>
      </w:r>
    </w:p>
    <w:p w14:paraId="27B166AE" w14:textId="77777777" w:rsidR="006F325D" w:rsidRPr="006F325D" w:rsidRDefault="006F325D" w:rsidP="006F325D">
      <w:pPr>
        <w:pStyle w:val="ListParagraph"/>
        <w:numPr>
          <w:ilvl w:val="1"/>
          <w:numId w:val="24"/>
        </w:numPr>
      </w:pPr>
      <w:r w:rsidRPr="006F325D">
        <w:t>Upper management is aware before execution</w:t>
      </w:r>
    </w:p>
    <w:p w14:paraId="6186B073" w14:textId="6142F8E1" w:rsidR="00A81FFD" w:rsidRDefault="006F325D" w:rsidP="007867DB">
      <w:pPr>
        <w:pStyle w:val="ListParagraph"/>
        <w:numPr>
          <w:ilvl w:val="0"/>
          <w:numId w:val="24"/>
        </w:numPr>
      </w:pPr>
      <w:r w:rsidRPr="006F325D">
        <w:t>Note: WSU has never escalated to debarment, but documentation is mandatory.</w:t>
      </w:r>
    </w:p>
    <w:sectPr w:rsidR="00A81F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ore, Anke Marga-Christa" w:date="2025-11-20T13:31:00Z" w:initials="AM">
    <w:p w14:paraId="1C63863C" w14:textId="77777777" w:rsidR="001E291A" w:rsidRDefault="001E291A" w:rsidP="001E291A">
      <w:pPr>
        <w:pStyle w:val="CommentText"/>
      </w:pPr>
      <w:r>
        <w:rPr>
          <w:rStyle w:val="CommentReference"/>
        </w:rPr>
        <w:annotationRef/>
      </w:r>
      <w:r>
        <w:t>We require the UEI for all awards.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63863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8217D7" w16cex:dateUtc="2025-11-20T2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63863C" w16cid:durableId="178217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21440"/>
    <w:multiLevelType w:val="hybridMultilevel"/>
    <w:tmpl w:val="5AB8B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B2B2E0B"/>
    <w:multiLevelType w:val="hybridMultilevel"/>
    <w:tmpl w:val="DE40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A2E89"/>
    <w:multiLevelType w:val="hybridMultilevel"/>
    <w:tmpl w:val="006E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A6796"/>
    <w:multiLevelType w:val="hybridMultilevel"/>
    <w:tmpl w:val="483E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9522D"/>
    <w:multiLevelType w:val="hybridMultilevel"/>
    <w:tmpl w:val="B4C8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B0D70"/>
    <w:multiLevelType w:val="multilevel"/>
    <w:tmpl w:val="5DA4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405BC"/>
    <w:multiLevelType w:val="multilevel"/>
    <w:tmpl w:val="58BC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B2C87"/>
    <w:multiLevelType w:val="multilevel"/>
    <w:tmpl w:val="C6A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96A2B"/>
    <w:multiLevelType w:val="hybridMultilevel"/>
    <w:tmpl w:val="9264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3562E"/>
    <w:multiLevelType w:val="hybridMultilevel"/>
    <w:tmpl w:val="D8CE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A3238"/>
    <w:multiLevelType w:val="hybridMultilevel"/>
    <w:tmpl w:val="7C64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048B4"/>
    <w:multiLevelType w:val="hybridMultilevel"/>
    <w:tmpl w:val="D650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F5356"/>
    <w:multiLevelType w:val="multilevel"/>
    <w:tmpl w:val="A2F6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0E1A98"/>
    <w:multiLevelType w:val="multilevel"/>
    <w:tmpl w:val="F96A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B1101"/>
    <w:multiLevelType w:val="hybridMultilevel"/>
    <w:tmpl w:val="2CDE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8023">
    <w:abstractNumId w:val="8"/>
  </w:num>
  <w:num w:numId="2" w16cid:durableId="210768659">
    <w:abstractNumId w:val="6"/>
  </w:num>
  <w:num w:numId="3" w16cid:durableId="378938189">
    <w:abstractNumId w:val="5"/>
  </w:num>
  <w:num w:numId="4" w16cid:durableId="1297763214">
    <w:abstractNumId w:val="4"/>
  </w:num>
  <w:num w:numId="5" w16cid:durableId="634682377">
    <w:abstractNumId w:val="7"/>
  </w:num>
  <w:num w:numId="6" w16cid:durableId="2142726409">
    <w:abstractNumId w:val="3"/>
  </w:num>
  <w:num w:numId="7" w16cid:durableId="1855147598">
    <w:abstractNumId w:val="2"/>
  </w:num>
  <w:num w:numId="8" w16cid:durableId="1293899125">
    <w:abstractNumId w:val="1"/>
  </w:num>
  <w:num w:numId="9" w16cid:durableId="31006660">
    <w:abstractNumId w:val="0"/>
  </w:num>
  <w:num w:numId="10" w16cid:durableId="741946414">
    <w:abstractNumId w:val="21"/>
  </w:num>
  <w:num w:numId="11" w16cid:durableId="1230849072">
    <w:abstractNumId w:val="13"/>
  </w:num>
  <w:num w:numId="12" w16cid:durableId="721635738">
    <w:abstractNumId w:val="10"/>
  </w:num>
  <w:num w:numId="13" w16cid:durableId="59519934">
    <w:abstractNumId w:val="19"/>
  </w:num>
  <w:num w:numId="14" w16cid:durableId="294485205">
    <w:abstractNumId w:val="18"/>
  </w:num>
  <w:num w:numId="15" w16cid:durableId="1071851156">
    <w:abstractNumId w:val="17"/>
  </w:num>
  <w:num w:numId="16" w16cid:durableId="138036952">
    <w:abstractNumId w:val="9"/>
  </w:num>
  <w:num w:numId="17" w16cid:durableId="833304828">
    <w:abstractNumId w:val="20"/>
  </w:num>
  <w:num w:numId="18" w16cid:durableId="683479077">
    <w:abstractNumId w:val="11"/>
  </w:num>
  <w:num w:numId="19" w16cid:durableId="1539078299">
    <w:abstractNumId w:val="16"/>
  </w:num>
  <w:num w:numId="20" w16cid:durableId="953756738">
    <w:abstractNumId w:val="14"/>
  </w:num>
  <w:num w:numId="21" w16cid:durableId="23098982">
    <w:abstractNumId w:val="15"/>
  </w:num>
  <w:num w:numId="22" w16cid:durableId="1966765854">
    <w:abstractNumId w:val="12"/>
  </w:num>
  <w:num w:numId="23" w16cid:durableId="1283998984">
    <w:abstractNumId w:val="23"/>
  </w:num>
  <w:num w:numId="24" w16cid:durableId="94885429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ore, Anke Marga-Christa">
    <w15:presenceInfo w15:providerId="AD" w15:userId="S::anke.moore@wsu.edu::d4a61b6f-8601-478d-a45c-62e11b5bc1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0F4"/>
    <w:rsid w:val="00023668"/>
    <w:rsid w:val="00033535"/>
    <w:rsid w:val="00034616"/>
    <w:rsid w:val="00052EC9"/>
    <w:rsid w:val="0006063C"/>
    <w:rsid w:val="00072DB2"/>
    <w:rsid w:val="00092E4F"/>
    <w:rsid w:val="000C249C"/>
    <w:rsid w:val="000E3FA1"/>
    <w:rsid w:val="0014776D"/>
    <w:rsid w:val="0015074B"/>
    <w:rsid w:val="00196836"/>
    <w:rsid w:val="001E291A"/>
    <w:rsid w:val="001F6C70"/>
    <w:rsid w:val="00230221"/>
    <w:rsid w:val="0029639D"/>
    <w:rsid w:val="002D2198"/>
    <w:rsid w:val="00326F90"/>
    <w:rsid w:val="00395008"/>
    <w:rsid w:val="003C5221"/>
    <w:rsid w:val="00517F75"/>
    <w:rsid w:val="00553E49"/>
    <w:rsid w:val="005704CE"/>
    <w:rsid w:val="005C6EF5"/>
    <w:rsid w:val="005E6FE7"/>
    <w:rsid w:val="005F6EB2"/>
    <w:rsid w:val="006332C0"/>
    <w:rsid w:val="006F325D"/>
    <w:rsid w:val="00702694"/>
    <w:rsid w:val="00782FC2"/>
    <w:rsid w:val="007867DB"/>
    <w:rsid w:val="007A4037"/>
    <w:rsid w:val="00897BA4"/>
    <w:rsid w:val="008C0685"/>
    <w:rsid w:val="008C7F22"/>
    <w:rsid w:val="008D795F"/>
    <w:rsid w:val="00906D2C"/>
    <w:rsid w:val="009A40A5"/>
    <w:rsid w:val="00A67EE0"/>
    <w:rsid w:val="00A81FFD"/>
    <w:rsid w:val="00AA1D8D"/>
    <w:rsid w:val="00AA777E"/>
    <w:rsid w:val="00AD3CBE"/>
    <w:rsid w:val="00B45B53"/>
    <w:rsid w:val="00B47730"/>
    <w:rsid w:val="00B53027"/>
    <w:rsid w:val="00B6492B"/>
    <w:rsid w:val="00B95ECA"/>
    <w:rsid w:val="00BA5ACE"/>
    <w:rsid w:val="00BA6F7D"/>
    <w:rsid w:val="00C15010"/>
    <w:rsid w:val="00C57001"/>
    <w:rsid w:val="00CA7BD8"/>
    <w:rsid w:val="00CB0664"/>
    <w:rsid w:val="00CB32F2"/>
    <w:rsid w:val="00CB608B"/>
    <w:rsid w:val="00CC70D3"/>
    <w:rsid w:val="00CD6C4F"/>
    <w:rsid w:val="00CF4D0E"/>
    <w:rsid w:val="00D00192"/>
    <w:rsid w:val="00D62A09"/>
    <w:rsid w:val="00E305B6"/>
    <w:rsid w:val="00EA7EDC"/>
    <w:rsid w:val="00EC21E0"/>
    <w:rsid w:val="00ED6DD3"/>
    <w:rsid w:val="00F366F2"/>
    <w:rsid w:val="00F421AC"/>
    <w:rsid w:val="00F70C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780B8"/>
  <w14:defaultImageDpi w14:val="300"/>
  <w15:docId w15:val="{C0679E99-4AD8-49F7-93A5-95009ED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305B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7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0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2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9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91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hyperlink" Target="https://fdpclearinghouse.org/organizations?order=common_name&amp;orderDir=asc&amp;search=university%20of%20new%20mexico&amp;pageSize=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so.wsu.edu/documents/2022/05/subaward-initiation-form-fillable.pdf/" TargetMode="External"/><Relationship Id="rId11" Type="http://schemas.openxmlformats.org/officeDocument/2006/relationships/hyperlink" Target="https://sam.gov/content/ho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Moore, Anke Marga-Christa</cp:lastModifiedBy>
  <cp:revision>3</cp:revision>
  <dcterms:created xsi:type="dcterms:W3CDTF">2025-12-15T17:39:00Z</dcterms:created>
  <dcterms:modified xsi:type="dcterms:W3CDTF">2025-12-15T17:39:00Z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d288af15-3c31-4a85-b1c6-e139b6545ffc</vt:lpwstr>
  </property>
</Properties>
</file>