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5194" w14:textId="77777777" w:rsidR="002E7427" w:rsidRDefault="002E7427" w:rsidP="00814305">
      <w:pPr>
        <w:rPr>
          <w:b/>
          <w:bCs/>
        </w:rPr>
      </w:pPr>
      <w:bookmarkStart w:id="0" w:name="_Hlk207280401"/>
      <w:r>
        <w:rPr>
          <w:b/>
          <w:bCs/>
        </w:rPr>
        <w:t>Justification for Sponsored Agreements as required by Uniform Guidance and WSU BPPM:</w:t>
      </w:r>
    </w:p>
    <w:p w14:paraId="351A224E" w14:textId="70B6ED8E" w:rsidR="00814305" w:rsidRPr="00814305" w:rsidRDefault="00814305" w:rsidP="00814305">
      <w:pPr>
        <w:rPr>
          <w:b/>
          <w:bCs/>
        </w:rPr>
      </w:pPr>
      <w:r w:rsidRPr="00814305">
        <w:rPr>
          <w:b/>
          <w:bCs/>
        </w:rPr>
        <w:t>Request Payroll Adjustment Expenses Transfer</w:t>
      </w:r>
      <w:r w:rsidR="002E7427">
        <w:rPr>
          <w:b/>
          <w:bCs/>
        </w:rPr>
        <w:t>s</w:t>
      </w:r>
      <w:r w:rsidRPr="00814305">
        <w:rPr>
          <w:b/>
          <w:bCs/>
        </w:rPr>
        <w:t xml:space="preserve"> </w:t>
      </w:r>
    </w:p>
    <w:p w14:paraId="6E8EECC1" w14:textId="77777777" w:rsidR="00814305" w:rsidRPr="00814305" w:rsidRDefault="00814305" w:rsidP="002E7427">
      <w:pPr>
        <w:spacing w:after="0"/>
      </w:pPr>
      <w:r w:rsidRPr="00814305">
        <w:t xml:space="preserve">Do not transfer expenditures from one sponsored project to another for any of the following reasons: </w:t>
      </w:r>
    </w:p>
    <w:p w14:paraId="7C1DA1A5" w14:textId="77777777" w:rsidR="00814305" w:rsidRPr="00814305" w:rsidRDefault="00814305" w:rsidP="002E7427">
      <w:pPr>
        <w:numPr>
          <w:ilvl w:val="0"/>
          <w:numId w:val="3"/>
        </w:numPr>
        <w:tabs>
          <w:tab w:val="clear" w:pos="720"/>
          <w:tab w:val="num" w:pos="1440"/>
        </w:tabs>
        <w:spacing w:after="0"/>
      </w:pPr>
      <w:r w:rsidRPr="00814305">
        <w:t>Clearing an overdraft. (Note: A transfer between award lines within the same award may be acceptable.)</w:t>
      </w:r>
    </w:p>
    <w:p w14:paraId="17CF28C3" w14:textId="77777777" w:rsidR="00814305" w:rsidRPr="00814305" w:rsidRDefault="00814305" w:rsidP="002E7427">
      <w:pPr>
        <w:numPr>
          <w:ilvl w:val="0"/>
          <w:numId w:val="3"/>
        </w:numPr>
        <w:tabs>
          <w:tab w:val="clear" w:pos="720"/>
          <w:tab w:val="num" w:pos="1440"/>
        </w:tabs>
        <w:spacing w:after="0"/>
      </w:pPr>
      <w:r w:rsidRPr="00814305">
        <w:t>Avoiding restrictions imposed by statutes, regulations, or the terms and conditions of the award, or for other reasons.</w:t>
      </w:r>
    </w:p>
    <w:p w14:paraId="015B7106" w14:textId="77777777" w:rsidR="00814305" w:rsidRPr="00814305" w:rsidRDefault="00814305" w:rsidP="002E7427">
      <w:pPr>
        <w:numPr>
          <w:ilvl w:val="0"/>
          <w:numId w:val="3"/>
        </w:numPr>
        <w:tabs>
          <w:tab w:val="clear" w:pos="720"/>
          <w:tab w:val="num" w:pos="1440"/>
        </w:tabs>
        <w:spacing w:after="0"/>
      </w:pPr>
      <w:r w:rsidRPr="00814305">
        <w:t>Avoiding restrictions in a sponsored agreement.</w:t>
      </w:r>
    </w:p>
    <w:p w14:paraId="2C0B9ECA" w14:textId="77777777" w:rsidR="00814305" w:rsidRPr="00814305" w:rsidRDefault="00814305" w:rsidP="002E7427">
      <w:pPr>
        <w:numPr>
          <w:ilvl w:val="0"/>
          <w:numId w:val="3"/>
        </w:numPr>
        <w:tabs>
          <w:tab w:val="clear" w:pos="720"/>
          <w:tab w:val="num" w:pos="1440"/>
        </w:tabs>
        <w:spacing w:after="0"/>
      </w:pPr>
      <w:r w:rsidRPr="00814305">
        <w:t>Convenience.</w:t>
      </w:r>
    </w:p>
    <w:p w14:paraId="54D77A48" w14:textId="77777777" w:rsidR="00814305" w:rsidRPr="00814305" w:rsidRDefault="00814305" w:rsidP="002E7427">
      <w:pPr>
        <w:spacing w:after="0"/>
      </w:pPr>
      <w:r w:rsidRPr="00814305">
        <w:t>Such expenditures may only be transferred to a non-sponsored award, gift, or program.</w:t>
      </w:r>
    </w:p>
    <w:p w14:paraId="150C4E96" w14:textId="77777777" w:rsidR="00295B0C" w:rsidRDefault="00295B0C" w:rsidP="002E7427">
      <w:pPr>
        <w:spacing w:after="0"/>
      </w:pPr>
    </w:p>
    <w:p w14:paraId="1623AE65" w14:textId="6E6E35A1" w:rsidR="00814305" w:rsidRPr="00814305" w:rsidRDefault="00295B0C" w:rsidP="002E7427">
      <w:pPr>
        <w:spacing w:after="0"/>
      </w:pPr>
      <w:r w:rsidRPr="00295B0C">
        <w:t>Per BPPM Expenditures for project reports or results published after project completion must be charged 30 days prior to the end of the closeout period.</w:t>
      </w:r>
    </w:p>
    <w:p w14:paraId="009873BB" w14:textId="77777777" w:rsidR="00295B0C" w:rsidRDefault="00295B0C" w:rsidP="00814305"/>
    <w:p w14:paraId="21EEF97A" w14:textId="142F95F4" w:rsidR="00814305" w:rsidRPr="00814305" w:rsidRDefault="00814305" w:rsidP="00814305">
      <w:pPr>
        <w:rPr>
          <w:b/>
          <w:bCs/>
        </w:rPr>
      </w:pPr>
      <w:r w:rsidRPr="00814305">
        <w:t xml:space="preserve"> </w:t>
      </w:r>
      <w:r w:rsidRPr="00814305">
        <w:rPr>
          <w:b/>
          <w:bCs/>
        </w:rPr>
        <w:t>To fully vet and review your request the following information will be needed:</w:t>
      </w:r>
    </w:p>
    <w:p w14:paraId="3CBFD754" w14:textId="77777777" w:rsidR="002E7427" w:rsidRDefault="002E7427" w:rsidP="002E7427">
      <w:pPr>
        <w:pStyle w:val="ListParagraph"/>
        <w:numPr>
          <w:ilvl w:val="0"/>
          <w:numId w:val="4"/>
        </w:numPr>
        <w:spacing w:after="0"/>
      </w:pPr>
      <w:r>
        <w:t>H</w:t>
      </w:r>
      <w:r w:rsidR="00814305" w:rsidRPr="00814305">
        <w:t>as the expense been moved prior to this request?</w:t>
      </w:r>
    </w:p>
    <w:p w14:paraId="07EC96EB" w14:textId="77777777" w:rsidR="00054368" w:rsidRDefault="00054368" w:rsidP="00054368">
      <w:pPr>
        <w:pStyle w:val="ListParagraph"/>
        <w:spacing w:after="0"/>
        <w:ind w:left="1170"/>
      </w:pPr>
    </w:p>
    <w:p w14:paraId="4355905A" w14:textId="295843B3" w:rsidR="002E7427" w:rsidRPr="00054368" w:rsidRDefault="00814305" w:rsidP="002E7427">
      <w:pPr>
        <w:pStyle w:val="ListParagraph"/>
        <w:numPr>
          <w:ilvl w:val="0"/>
          <w:numId w:val="4"/>
        </w:numPr>
        <w:spacing w:after="0"/>
      </w:pPr>
      <w:r w:rsidRPr="00814305">
        <w:t xml:space="preserve">Explain why the </w:t>
      </w:r>
      <w:r w:rsidR="002E7427" w:rsidRPr="002E7427">
        <w:rPr>
          <w:rFonts w:eastAsiaTheme="minorEastAsia"/>
          <w:noProof/>
          <w:kern w:val="0"/>
          <w:sz w:val="22"/>
          <w:szCs w:val="22"/>
          <w14:ligatures w14:val="none"/>
        </w:rPr>
        <w:t xml:space="preserve">expense </w:t>
      </w:r>
      <w:r w:rsidR="003A298A">
        <w:rPr>
          <w:rFonts w:eastAsiaTheme="minorEastAsia"/>
          <w:noProof/>
          <w:kern w:val="0"/>
          <w:sz w:val="22"/>
          <w:szCs w:val="22"/>
          <w14:ligatures w14:val="none"/>
        </w:rPr>
        <w:t xml:space="preserve">did </w:t>
      </w:r>
      <w:r w:rsidR="002E7427" w:rsidRPr="002E7427">
        <w:rPr>
          <w:rFonts w:eastAsiaTheme="minorEastAsia"/>
          <w:noProof/>
          <w:kern w:val="0"/>
          <w:sz w:val="22"/>
          <w:szCs w:val="22"/>
          <w14:ligatures w14:val="none"/>
        </w:rPr>
        <w:t>not post correctly</w:t>
      </w:r>
      <w:r w:rsidR="00295B0C">
        <w:rPr>
          <w:rFonts w:eastAsiaTheme="minorEastAsia"/>
          <w:noProof/>
          <w:kern w:val="0"/>
          <w:sz w:val="22"/>
          <w:szCs w:val="22"/>
          <w14:ligatures w14:val="none"/>
        </w:rPr>
        <w:t xml:space="preserve"> to </w:t>
      </w:r>
      <w:r w:rsidR="002E7427" w:rsidRPr="002E7427">
        <w:rPr>
          <w:rFonts w:eastAsiaTheme="minorEastAsia"/>
          <w:noProof/>
          <w:kern w:val="0"/>
          <w:sz w:val="22"/>
          <w:szCs w:val="22"/>
          <w14:ligatures w14:val="none"/>
        </w:rPr>
        <w:t>the award the first time?</w:t>
      </w:r>
    </w:p>
    <w:p w14:paraId="24A65CF6" w14:textId="77777777" w:rsidR="00054368" w:rsidRPr="002E7427" w:rsidRDefault="00054368" w:rsidP="00054368">
      <w:pPr>
        <w:spacing w:after="0"/>
      </w:pPr>
    </w:p>
    <w:p w14:paraId="3CEB406E" w14:textId="74A20D41" w:rsidR="00814305" w:rsidRPr="00814305" w:rsidRDefault="00814305" w:rsidP="00054368">
      <w:pPr>
        <w:numPr>
          <w:ilvl w:val="0"/>
          <w:numId w:val="4"/>
        </w:numPr>
        <w:rPr>
          <w:i/>
          <w:iCs/>
        </w:rPr>
      </w:pPr>
      <w:r w:rsidRPr="00814305">
        <w:t xml:space="preserve">Justification for transfer to the receiving account/award: Describe how the expense </w:t>
      </w:r>
      <w:r w:rsidRPr="00814305">
        <w:rPr>
          <w:u w:val="single"/>
        </w:rPr>
        <w:t>directly benefits</w:t>
      </w:r>
      <w:r w:rsidRPr="00814305">
        <w:t xml:space="preserve"> the receiving account/award.</w:t>
      </w:r>
      <w:r w:rsidRPr="00814305">
        <w:rPr>
          <w:i/>
          <w:iCs/>
        </w:rPr>
        <w:t xml:space="preserve">  Note: The expense directly benefits the award is not an acceptable answer to this question.  Expense per </w:t>
      </w:r>
      <w:hyperlink r:id="rId5" w:history="1">
        <w:r w:rsidRPr="00814305">
          <w:rPr>
            <w:rStyle w:val="Hyperlink"/>
            <w:i/>
            <w:iCs/>
          </w:rPr>
          <w:t>Uniform Guidance</w:t>
        </w:r>
      </w:hyperlink>
      <w:r w:rsidRPr="00814305">
        <w:rPr>
          <w:i/>
          <w:iCs/>
        </w:rPr>
        <w:t xml:space="preserve"> requires that the expense directly benefits the award. An explanation of the “work being performed is similar” is not an allowable justification for payroll related expenses.</w:t>
      </w:r>
    </w:p>
    <w:p w14:paraId="4C84F9D4" w14:textId="77777777" w:rsidR="002E7427" w:rsidRDefault="00814305" w:rsidP="002E7427">
      <w:pPr>
        <w:numPr>
          <w:ilvl w:val="0"/>
          <w:numId w:val="4"/>
        </w:numPr>
      </w:pPr>
      <w:r w:rsidRPr="00814305">
        <w:t xml:space="preserve">If allocating expenses across multiple accounts, describe the allocation methodology used. </w:t>
      </w:r>
    </w:p>
    <w:p w14:paraId="28570AFE" w14:textId="77777777" w:rsidR="00054368" w:rsidRDefault="00054368" w:rsidP="00054368">
      <w:pPr>
        <w:numPr>
          <w:ilvl w:val="0"/>
          <w:numId w:val="4"/>
        </w:numPr>
      </w:pPr>
      <w:r>
        <w:t>D</w:t>
      </w:r>
      <w:r w:rsidRPr="00814305">
        <w:t>escribe the specific actions being taken to prevent similar cost transfer errors from occurring in the future. These actions should be specific and implementable within your unit. </w:t>
      </w:r>
    </w:p>
    <w:p w14:paraId="10AE29FD" w14:textId="77777777" w:rsidR="00054368" w:rsidRPr="00814305" w:rsidRDefault="00054368" w:rsidP="00054368">
      <w:pPr>
        <w:numPr>
          <w:ilvl w:val="0"/>
          <w:numId w:val="4"/>
        </w:numPr>
      </w:pPr>
      <w:r w:rsidRPr="00814305">
        <w:t>Explanation for Delayed Request (Over 90 Days): </w:t>
      </w:r>
    </w:p>
    <w:p w14:paraId="4341DB60" w14:textId="64D92968" w:rsidR="00295B0C" w:rsidRDefault="00054368" w:rsidP="00295B0C">
      <w:pPr>
        <w:numPr>
          <w:ilvl w:val="1"/>
          <w:numId w:val="4"/>
        </w:numPr>
      </w:pPr>
      <w:r w:rsidRPr="00814305">
        <w:t>Clearly explain the extenuating circumstances that prevented the timely correction of the error within the 90-day period</w:t>
      </w:r>
      <w:r w:rsidR="0067599A">
        <w:t xml:space="preserve"> after the initial expense posted</w:t>
      </w:r>
      <w:r w:rsidRPr="00814305">
        <w:t>.</w:t>
      </w:r>
    </w:p>
    <w:p w14:paraId="64A1E070" w14:textId="07B93703" w:rsidR="00814305" w:rsidRPr="00814305" w:rsidRDefault="00054368" w:rsidP="00295B0C">
      <w:pPr>
        <w:numPr>
          <w:ilvl w:val="2"/>
          <w:numId w:val="4"/>
        </w:numPr>
      </w:pPr>
      <w:r w:rsidRPr="00814305">
        <w:t>This explanation should emphasize how these circumstances affected the inability to follow WSU internal controls</w:t>
      </w:r>
      <w:r w:rsidR="00295B0C">
        <w:t>.</w:t>
      </w:r>
    </w:p>
    <w:p w14:paraId="6B7A569D" w14:textId="6E6B0ABA" w:rsidR="00B813D4" w:rsidRDefault="00B813D4" w:rsidP="00B813D4">
      <w:r w:rsidRPr="00B813D4">
        <w:t>See also </w:t>
      </w:r>
      <w:hyperlink r:id="rId6" w:history="1">
        <w:r w:rsidRPr="00B813D4">
          <w:rPr>
            <w:rStyle w:val="Hyperlink"/>
          </w:rPr>
          <w:t>BPPM 40.03</w:t>
        </w:r>
      </w:hyperlink>
      <w:r w:rsidRPr="00B813D4">
        <w:t> for expenditure deadlines.</w:t>
      </w:r>
    </w:p>
    <w:p w14:paraId="57DF9555" w14:textId="2E210E5B" w:rsidR="0067599A" w:rsidRPr="00B813D4" w:rsidRDefault="0067599A" w:rsidP="00B813D4">
      <w:r>
        <w:t xml:space="preserve">Uniform Guidance Link </w:t>
      </w:r>
      <w:hyperlink r:id="rId7" w:history="1">
        <w:r w:rsidRPr="001977DB">
          <w:rPr>
            <w:rStyle w:val="Hyperlink"/>
          </w:rPr>
          <w:t>https://www.govinfo.gov/content/pkg/CFR-2022-title2-vol1/xml/CFR-2022-title2-vol1-sec200-405.xml</w:t>
        </w:r>
      </w:hyperlink>
      <w:r>
        <w:t xml:space="preserve"> </w:t>
      </w:r>
    </w:p>
    <w:bookmarkEnd w:id="0"/>
    <w:p w14:paraId="49621DE9" w14:textId="77777777" w:rsidR="00B813D4" w:rsidRPr="00814305" w:rsidRDefault="00B813D4" w:rsidP="00B813D4"/>
    <w:sectPr w:rsidR="00B813D4" w:rsidRPr="00814305" w:rsidSect="00944768"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6335A"/>
    <w:multiLevelType w:val="multilevel"/>
    <w:tmpl w:val="76AC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67C96"/>
    <w:multiLevelType w:val="multilevel"/>
    <w:tmpl w:val="B48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4082C"/>
    <w:multiLevelType w:val="hybridMultilevel"/>
    <w:tmpl w:val="7F6E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24CDE"/>
    <w:multiLevelType w:val="hybridMultilevel"/>
    <w:tmpl w:val="44B42238"/>
    <w:lvl w:ilvl="0" w:tplc="58504C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76521">
    <w:abstractNumId w:val="1"/>
  </w:num>
  <w:num w:numId="2" w16cid:durableId="575675983">
    <w:abstractNumId w:val="0"/>
  </w:num>
  <w:num w:numId="3" w16cid:durableId="15483700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21040852">
    <w:abstractNumId w:val="3"/>
  </w:num>
  <w:num w:numId="5" w16cid:durableId="1363168537">
    <w:abstractNumId w:val="3"/>
  </w:num>
  <w:num w:numId="6" w16cid:durableId="463885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D4"/>
    <w:rsid w:val="00054368"/>
    <w:rsid w:val="00181F08"/>
    <w:rsid w:val="00215D60"/>
    <w:rsid w:val="00295B0C"/>
    <w:rsid w:val="002E7427"/>
    <w:rsid w:val="003A298A"/>
    <w:rsid w:val="00484B4C"/>
    <w:rsid w:val="005064ED"/>
    <w:rsid w:val="0067599A"/>
    <w:rsid w:val="007B4265"/>
    <w:rsid w:val="00814305"/>
    <w:rsid w:val="008C7C9A"/>
    <w:rsid w:val="00944768"/>
    <w:rsid w:val="00B813D4"/>
    <w:rsid w:val="00E94C04"/>
    <w:rsid w:val="00F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94E1"/>
  <w15:chartTrackingRefBased/>
  <w15:docId w15:val="{FCFE079C-F1B3-41BE-A228-5E6F71EC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3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3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59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CFR-2022-title2-vol1/xml/CFR-2022-title2-vol1-sec200-405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ies.wsu.edu/prf/index/manuals/business-policies-and-procedures-manual/bppm-40-03/" TargetMode="External"/><Relationship Id="rId5" Type="http://schemas.openxmlformats.org/officeDocument/2006/relationships/hyperlink" Target="https://www.govinfo.gov/content/pkg/CFR-2022-title2-vol1/xml/CFR-2022-title2-vol1-sec200-405.x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Akin, Kim R</dc:creator>
  <cp:keywords/>
  <dc:description/>
  <cp:lastModifiedBy>Akin, Kim R</cp:lastModifiedBy>
  <cp:revision>1</cp:revision>
  <dcterms:created xsi:type="dcterms:W3CDTF">2025-08-27T16:27:00Z</dcterms:created>
  <dcterms:modified xsi:type="dcterms:W3CDTF">2025-08-28T20:28:00Z</dcterms:modified>
</cp:coreProperties>
</file>