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32C4E718" w:rsidR="002266CB" w:rsidRDefault="001A40F0" w:rsidP="002266CB">
      <w:pPr>
        <w:pStyle w:val="Heading2"/>
        <w:rPr>
          <w:b w:val="0"/>
          <w:bCs/>
          <w:sz w:val="28"/>
          <w:szCs w:val="28"/>
        </w:rPr>
      </w:pPr>
      <w:r>
        <w:rPr>
          <w:b w:val="0"/>
          <w:bCs/>
          <w:sz w:val="28"/>
          <w:szCs w:val="28"/>
        </w:rPr>
        <w:t>Rubidium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dilute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5297CC44" w14:textId="77777777" w:rsidR="001A40F0" w:rsidRDefault="001A40F0" w:rsidP="001A40F0">
            <w:pPr>
              <w:autoSpaceDE w:val="0"/>
              <w:autoSpaceDN w:val="0"/>
              <w:adjustRightInd w:val="0"/>
            </w:pPr>
            <w:r>
              <w:rPr>
                <w:b/>
                <w:spacing w:val="-3"/>
              </w:rPr>
              <w:t>Rubidium Hydroxide,</w:t>
            </w:r>
            <w:r>
              <w:rPr>
                <w:spacing w:val="-3"/>
              </w:rPr>
              <w:t xml:space="preserve"> </w:t>
            </w:r>
            <w:r>
              <w:rPr>
                <w:b/>
                <w:u w:val="single"/>
              </w:rPr>
              <w:t xml:space="preserve">CAS # </w:t>
            </w:r>
            <w:r>
              <w:rPr>
                <w:rFonts w:ascii="Helvetica" w:hAnsi="Helvetica" w:cs="Helvetica"/>
                <w:b/>
                <w:u w:val="single"/>
              </w:rPr>
              <w:t>1310-82-3</w:t>
            </w:r>
            <w:r>
              <w:rPr>
                <w:b/>
                <w:spacing w:val="-3"/>
                <w:u w:val="single"/>
              </w:rPr>
              <w:t>,</w:t>
            </w:r>
            <w:r>
              <w:rPr>
                <w:spacing w:val="-3"/>
              </w:rPr>
              <w:t xml:space="preserve"> also known as</w:t>
            </w:r>
            <w:r>
              <w:t xml:space="preserve"> RbOH, is a grayish white solid that is denser than water and used in electric storage batteries. Commercially available as a clear, colorless solution. Also available as rubidium hydroxide hydrate (CAS# 12026-05-0).</w:t>
            </w:r>
          </w:p>
          <w:p w14:paraId="24842ABD" w14:textId="77777777" w:rsidR="001A40F0" w:rsidRDefault="001A40F0" w:rsidP="001A40F0">
            <w:pPr>
              <w:autoSpaceDE w:val="0"/>
              <w:autoSpaceDN w:val="0"/>
              <w:adjustRightInd w:val="0"/>
              <w:rPr>
                <w:spacing w:val="-3"/>
              </w:rPr>
            </w:pPr>
          </w:p>
          <w:p w14:paraId="7D686CEC" w14:textId="77777777" w:rsidR="001A40F0" w:rsidRDefault="001A40F0" w:rsidP="001A40F0">
            <w:pPr>
              <w:numPr>
                <w:ilvl w:val="0"/>
                <w:numId w:val="11"/>
              </w:numPr>
              <w:autoSpaceDE w:val="0"/>
              <w:autoSpaceDN w:val="0"/>
              <w:adjustRightInd w:val="0"/>
              <w:rPr>
                <w:rFonts w:ascii="Helvetica" w:hAnsi="Helvetica" w:cs="Helvetica"/>
                <w:b/>
              </w:rPr>
            </w:pPr>
            <w:r>
              <w:rPr>
                <w:rFonts w:ascii="Helvetica" w:hAnsi="Helvetica" w:cs="Helvetica"/>
                <w:b/>
              </w:rPr>
              <w:t xml:space="preserve">CORROSIVE strong base.  May be corrosive to metals.  </w:t>
            </w:r>
          </w:p>
          <w:p w14:paraId="2A2798E4" w14:textId="77777777" w:rsidR="001A40F0" w:rsidRDefault="001A40F0" w:rsidP="001A40F0">
            <w:pPr>
              <w:numPr>
                <w:ilvl w:val="0"/>
                <w:numId w:val="11"/>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Causes skin irritation.</w:t>
            </w:r>
          </w:p>
          <w:p w14:paraId="4C211FBF" w14:textId="77777777" w:rsidR="001A40F0" w:rsidRDefault="001A40F0" w:rsidP="001A40F0">
            <w:pPr>
              <w:numPr>
                <w:ilvl w:val="0"/>
                <w:numId w:val="11"/>
              </w:numPr>
              <w:autoSpaceDE w:val="0"/>
              <w:autoSpaceDN w:val="0"/>
              <w:adjustRightInd w:val="0"/>
              <w:rPr>
                <w:rFonts w:ascii="Helvetica" w:hAnsi="Helvetica" w:cs="Helvetica"/>
                <w:b/>
              </w:rPr>
            </w:pPr>
            <w:r>
              <w:rPr>
                <w:rFonts w:ascii="Helvetica" w:hAnsi="Helvetica" w:cs="Helvetica"/>
                <w:b/>
              </w:rPr>
              <w:t xml:space="preserve">May be absorbed through the skin. </w:t>
            </w:r>
          </w:p>
          <w:p w14:paraId="2DCBAFB7" w14:textId="77777777" w:rsidR="001A40F0" w:rsidRDefault="001A40F0" w:rsidP="001A40F0">
            <w:pPr>
              <w:numPr>
                <w:ilvl w:val="0"/>
                <w:numId w:val="11"/>
              </w:numPr>
              <w:autoSpaceDE w:val="0"/>
              <w:autoSpaceDN w:val="0"/>
              <w:adjustRightInd w:val="0"/>
              <w:rPr>
                <w:rFonts w:ascii="Helvetica" w:hAnsi="Helvetica" w:cs="Helvetica"/>
                <w:b/>
              </w:rPr>
            </w:pPr>
            <w:r>
              <w:rPr>
                <w:rFonts w:ascii="Helvetica" w:hAnsi="Helvetica" w:cs="Helvetica"/>
                <w:b/>
              </w:rPr>
              <w:t>Toxic through ingestion.</w:t>
            </w:r>
          </w:p>
          <w:p w14:paraId="7A20C456" w14:textId="77777777" w:rsidR="001A40F0" w:rsidRDefault="001A40F0" w:rsidP="001A40F0">
            <w:pPr>
              <w:numPr>
                <w:ilvl w:val="0"/>
                <w:numId w:val="11"/>
              </w:numPr>
              <w:autoSpaceDE w:val="0"/>
              <w:autoSpaceDN w:val="0"/>
              <w:adjustRightInd w:val="0"/>
              <w:rPr>
                <w:rFonts w:ascii="Helvetica" w:hAnsi="Helvetica" w:cs="Helvetica"/>
                <w:b/>
              </w:rPr>
            </w:pPr>
            <w:r>
              <w:rPr>
                <w:rFonts w:ascii="Helvetica" w:hAnsi="Helvetica" w:cs="Helvetica"/>
                <w:b/>
              </w:rPr>
              <w:t>Reacts with strong acids, during which heat is liberated during exothermic reaction.</w:t>
            </w:r>
          </w:p>
          <w:p w14:paraId="561914AC" w14:textId="77777777" w:rsidR="001A40F0" w:rsidRDefault="001A40F0" w:rsidP="001A40F0">
            <w:pPr>
              <w:autoSpaceDE w:val="0"/>
              <w:autoSpaceDN w:val="0"/>
              <w:adjustRightInd w:val="0"/>
              <w:rPr>
                <w:spacing w:val="-3"/>
              </w:rPr>
            </w:pPr>
          </w:p>
          <w:p w14:paraId="430D6A99" w14:textId="77777777" w:rsidR="001A40F0" w:rsidRDefault="00000000" w:rsidP="001A40F0">
            <w:hyperlink r:id="rId5" w:history="1">
              <w:r w:rsidR="001A40F0" w:rsidRPr="000A67C9">
                <w:rPr>
                  <w:rStyle w:val="Hyperlink"/>
                  <w:b/>
                  <w:bCs/>
                </w:rPr>
                <w:t>GHS hazard pictograms</w:t>
              </w:r>
            </w:hyperlink>
          </w:p>
          <w:p w14:paraId="3E6BA7B4" w14:textId="77777777" w:rsidR="001A40F0" w:rsidRDefault="001A40F0" w:rsidP="001A40F0">
            <w:pPr>
              <w:autoSpaceDE w:val="0"/>
              <w:autoSpaceDN w:val="0"/>
              <w:adjustRightInd w:val="0"/>
              <w:rPr>
                <w:spacing w:val="-3"/>
              </w:rPr>
            </w:pPr>
          </w:p>
          <w:p w14:paraId="1B3AE706" w14:textId="0B2BB2DF" w:rsidR="001A40F0" w:rsidRDefault="001A40F0" w:rsidP="001A40F0">
            <w:pPr>
              <w:autoSpaceDE w:val="0"/>
              <w:autoSpaceDN w:val="0"/>
              <w:adjustRightInd w:val="0"/>
              <w:rPr>
                <w:spacing w:val="-3"/>
              </w:rPr>
            </w:pPr>
            <w:r>
              <w:rPr>
                <w:spacing w:val="-3"/>
              </w:rPr>
              <w:t xml:space="preserve">                   </w:t>
            </w:r>
            <w:r>
              <w:rPr>
                <w:noProof/>
                <w:spacing w:val="-3"/>
              </w:rPr>
              <w:drawing>
                <wp:inline distT="0" distB="0" distL="0" distR="0" wp14:anchorId="3CEEBEB8" wp14:editId="1631AFA3">
                  <wp:extent cx="638175" cy="638175"/>
                  <wp:effectExtent l="0" t="0" r="9525" b="9525"/>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noProof/>
                <w:spacing w:val="-3"/>
              </w:rPr>
              <w:drawing>
                <wp:inline distT="0" distB="0" distL="0" distR="0" wp14:anchorId="2E176559" wp14:editId="51F98356">
                  <wp:extent cx="638175" cy="638175"/>
                  <wp:effectExtent l="0" t="0" r="9525" b="9525"/>
                  <wp:docPr id="1" name="Picture 1"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3DBD912B" w14:textId="77777777" w:rsidR="001A40F0" w:rsidRDefault="001A40F0" w:rsidP="001A40F0">
            <w:pPr>
              <w:autoSpaceDE w:val="0"/>
              <w:autoSpaceDN w:val="0"/>
              <w:adjustRightInd w:val="0"/>
              <w:rPr>
                <w:rFonts w:cs="Arial"/>
              </w:rPr>
            </w:pPr>
          </w:p>
          <w:p w14:paraId="2C76FD1B" w14:textId="77777777" w:rsidR="001A40F0" w:rsidRDefault="001A40F0" w:rsidP="001A40F0">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6BD8D085" w14:textId="77777777" w:rsidR="001A40F0" w:rsidRDefault="001A40F0" w:rsidP="001A40F0">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This does not mean that this substance is not harmful. Safe work practices should always be followed.</w:t>
            </w:r>
          </w:p>
          <w:p w14:paraId="77C464BE" w14:textId="77777777" w:rsidR="001A40F0" w:rsidRDefault="001A40F0" w:rsidP="001A40F0">
            <w:pPr>
              <w:autoSpaceDE w:val="0"/>
              <w:autoSpaceDN w:val="0"/>
              <w:adjustRightInd w:val="0"/>
              <w:rPr>
                <w:rFonts w:ascii="Helvetica" w:hAnsi="Helvetica" w:cs="Helvetica"/>
              </w:rPr>
            </w:pPr>
          </w:p>
          <w:p w14:paraId="4459B28D" w14:textId="77777777" w:rsidR="001A40F0" w:rsidRDefault="001A40F0" w:rsidP="001A40F0">
            <w:pPr>
              <w:autoSpaceDE w:val="0"/>
              <w:autoSpaceDN w:val="0"/>
              <w:adjustRightInd w:val="0"/>
              <w:rPr>
                <w:rFonts w:cs="Arial"/>
              </w:rPr>
            </w:pPr>
            <w:r>
              <w:rPr>
                <w:rFonts w:cs="Arial"/>
                <w:u w:val="single"/>
              </w:rPr>
              <w:t>Toxicological Data</w:t>
            </w:r>
            <w:r>
              <w:rPr>
                <w:rFonts w:cs="Arial"/>
              </w:rPr>
              <w:t>:</w:t>
            </w:r>
          </w:p>
          <w:p w14:paraId="4023A9DB" w14:textId="77777777" w:rsidR="001A40F0" w:rsidRDefault="001A40F0" w:rsidP="001A40F0">
            <w:pPr>
              <w:autoSpaceDE w:val="0"/>
              <w:autoSpaceDN w:val="0"/>
              <w:adjustRightInd w:val="0"/>
              <w:rPr>
                <w:rFonts w:cs="Arial"/>
              </w:rPr>
            </w:pPr>
            <w:r>
              <w:rPr>
                <w:rFonts w:cs="Arial"/>
                <w:b/>
              </w:rPr>
              <w:t>ORAL (LD50):</w:t>
            </w:r>
            <w:r>
              <w:rPr>
                <w:rFonts w:cs="Arial"/>
              </w:rPr>
              <w:t xml:space="preserve"> 586 mg/kg [Rat].</w:t>
            </w:r>
          </w:p>
          <w:p w14:paraId="33382035" w14:textId="77777777" w:rsidR="001A40F0" w:rsidRDefault="001A40F0" w:rsidP="001A40F0">
            <w:pPr>
              <w:rPr>
                <w:rFonts w:ascii="Helvetica" w:hAnsi="Helvetica" w:cs="Helvetica"/>
              </w:rPr>
            </w:pPr>
          </w:p>
          <w:p w14:paraId="0B386F71" w14:textId="77777777" w:rsidR="001A40F0" w:rsidRDefault="001A40F0" w:rsidP="001A40F0">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766621FA" w:rsidR="00B22BB5" w:rsidRDefault="00B22BB5" w:rsidP="00B22BB5">
            <w:pPr>
              <w:rPr>
                <w:b/>
              </w:rPr>
            </w:pPr>
            <w:r>
              <w:t xml:space="preserve">The Safety Data Sheet (SDS) for </w:t>
            </w:r>
            <w:r w:rsidR="00B129E9">
              <w:t>Rubidium</w:t>
            </w:r>
            <w:r w:rsidR="005B6C75">
              <w:t xml:space="preserve"> hydroxide</w:t>
            </w:r>
            <w:r>
              <w:t xml:space="preserve">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69BFBEA8" w:rsidR="00B22BB5" w:rsidRDefault="00B22BB5" w:rsidP="00B22BB5">
            <w:r w:rsidRPr="001D65E2">
              <w:rPr>
                <w:u w:val="single"/>
              </w:rPr>
              <w:t>Labeling</w:t>
            </w:r>
            <w:r>
              <w:t xml:space="preserve">: </w:t>
            </w:r>
            <w:r w:rsidR="00B129E9">
              <w:t>Rubidium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769AA0B2" w:rsidR="00B22BB5" w:rsidRDefault="00B22BB5" w:rsidP="00B22BB5">
            <w:r w:rsidRPr="00352450">
              <w:rPr>
                <w:b/>
              </w:rPr>
              <w:t xml:space="preserve">Waste </w:t>
            </w:r>
            <w:r w:rsidR="00B129E9">
              <w:rPr>
                <w:b/>
              </w:rPr>
              <w:t>Rubidium</w:t>
            </w:r>
            <w:r w:rsidR="00ED0FA7">
              <w:rPr>
                <w:b/>
              </w:rPr>
              <w:t xml:space="preserve"> H</w:t>
            </w:r>
            <w:r w:rsidR="005B6C75">
              <w:rPr>
                <w:b/>
              </w:rPr>
              <w:t>ydroxide</w:t>
            </w:r>
            <w:r>
              <w:t xml:space="preserve"> must be managed as Dangerous Waste</w:t>
            </w:r>
            <w:r w:rsidR="007500D1">
              <w:t xml:space="preserve"> in its pure form and</w:t>
            </w:r>
            <w:r>
              <w:t xml:space="preserve"> if the solution has a pH of </w:t>
            </w:r>
            <w:r w:rsidR="005B6C75">
              <w:t>9 or higher</w:t>
            </w:r>
            <w:r>
              <w:t>.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5D2921A9"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B129E9">
              <w:rPr>
                <w:b/>
                <w:bCs/>
                <w:color w:val="FF0000"/>
              </w:rPr>
              <w:t>Rubidium</w:t>
            </w:r>
            <w:r w:rsidR="005B6C75">
              <w:rPr>
                <w:b/>
                <w:bCs/>
                <w:color w:val="FF0000"/>
              </w:rPr>
              <w:t xml:space="preserve"> hydroxide</w:t>
            </w:r>
            <w:r>
              <w:rPr>
                <w:b/>
                <w:bCs/>
                <w:color w:val="FF0000"/>
              </w:rPr>
              <w:t xml:space="preserve">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0A2451EF" w14:textId="68F3CAB3" w:rsidR="00B22BB5" w:rsidRDefault="00B22BB5" w:rsidP="00B22BB5">
            <w:r>
              <w:lastRenderedPageBreak/>
              <w:t xml:space="preserve">The </w:t>
            </w:r>
            <w:r w:rsidR="00B129E9">
              <w:t>Rubidium</w:t>
            </w:r>
            <w:r w:rsidR="00CF0D17">
              <w:t xml:space="preserve"> hydroxide</w:t>
            </w:r>
            <w:r>
              <w:t xml:space="preserve"> is stored and dispensed in </w:t>
            </w:r>
            <w:r w:rsidRPr="005F2E52">
              <w:rPr>
                <w:b/>
                <w:color w:val="FF0000"/>
              </w:rPr>
              <w:t>Building, Room</w:t>
            </w:r>
            <w:r>
              <w:rPr>
                <w:b/>
                <w:color w:val="0000FF"/>
              </w:rPr>
              <w:t>.</w:t>
            </w:r>
          </w:p>
          <w:p w14:paraId="77155C06" w14:textId="77777777" w:rsidR="00647DD0" w:rsidRDefault="00647DD0" w:rsidP="00B22BB5"/>
          <w:p w14:paraId="2E67E2B1" w14:textId="54C27E9A" w:rsidR="00B22BB5" w:rsidRDefault="00B22BB5" w:rsidP="00B22BB5">
            <w:r>
              <w:lastRenderedPageBreak/>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3AB99FD5" w:rsidR="00B22BB5" w:rsidRPr="00D3385C" w:rsidRDefault="00B22BB5" w:rsidP="00B22BB5">
            <w:pPr>
              <w:rPr>
                <w:b/>
              </w:rPr>
            </w:pPr>
            <w:r w:rsidRPr="00D3385C">
              <w:rPr>
                <w:b/>
              </w:rPr>
              <w:t xml:space="preserve">Confine all work with </w:t>
            </w:r>
            <w:r w:rsidR="00B129E9">
              <w:rPr>
                <w:b/>
              </w:rPr>
              <w:t>Rubidium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71142C1F" w:rsidR="00540E38" w:rsidRPr="00B22BB5" w:rsidRDefault="00B22BB5" w:rsidP="00540E38">
            <w:pPr>
              <w:rPr>
                <w:b/>
                <w:bCs/>
              </w:rPr>
            </w:pPr>
            <w:r w:rsidRPr="0069320B">
              <w:rPr>
                <w:b/>
                <w:bCs/>
                <w:color w:val="FF0000"/>
              </w:rPr>
              <w:t xml:space="preserve">Insert lab specific information on </w:t>
            </w:r>
            <w:r w:rsidR="00B129E9">
              <w:rPr>
                <w:b/>
                <w:bCs/>
                <w:color w:val="FF0000"/>
              </w:rPr>
              <w:t>Rubidium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It may be hazardous to the person providing aid to give mouth-to-mouth resuscitation when the inhaled material is toxic, infectious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1091A165" w:rsidR="00B22BB5" w:rsidRPr="00071EDE" w:rsidRDefault="00B22BB5" w:rsidP="00B22BB5">
            <w:r>
              <w:rPr>
                <w:b/>
              </w:rPr>
              <w:t>Large Release</w:t>
            </w:r>
            <w:r w:rsidRPr="00071EDE">
              <w:rPr>
                <w:b/>
              </w:rPr>
              <w:t>:</w:t>
            </w:r>
            <w:r w:rsidRPr="00071EDE">
              <w:t xml:space="preserve">  If a significant amount of </w:t>
            </w:r>
            <w:r w:rsidR="00B129E9">
              <w:t>Rubidium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3B4808DF"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B129E9">
              <w:t>Rubidium</w:t>
            </w:r>
            <w:r w:rsidR="00CF0D17">
              <w:t xml:space="preserve"> hydroxide</w:t>
            </w:r>
            <w:r>
              <w:t xml:space="preserve"> is spilled, (e.g.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and a fully-buttoned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096DE5AD" w:rsidR="00B22BB5" w:rsidRDefault="00B22BB5" w:rsidP="00B22BB5">
            <w:r>
              <w:t xml:space="preserve">As with all accidents, report any exposure as soon as possible to your Principal Investigator or Supervisor. Additional health and safety information on </w:t>
            </w:r>
            <w:r w:rsidR="00B129E9">
              <w:t>Rubidium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5F46D0B1" w:rsidR="003E3CD1" w:rsidRDefault="00B22BB5" w:rsidP="00B22BB5">
            <w:r w:rsidRPr="009B1B62">
              <w:rPr>
                <w:b/>
                <w:bCs/>
                <w:color w:val="FF0000"/>
              </w:rPr>
              <w:lastRenderedPageBreak/>
              <w:t xml:space="preserve">Insert lab specific information on </w:t>
            </w:r>
            <w:r w:rsidR="00B129E9">
              <w:rPr>
                <w:b/>
                <w:bCs/>
                <w:color w:val="FF0000"/>
              </w:rPr>
              <w:t>Rubidium</w:t>
            </w:r>
            <w:r w:rsidR="00853A9B">
              <w:rPr>
                <w:b/>
                <w:bCs/>
                <w:color w:val="FF0000"/>
              </w:rPr>
              <w:t xml:space="preserve"> </w:t>
            </w:r>
            <w:r w:rsidR="007C4468">
              <w:rPr>
                <w:b/>
                <w:bCs/>
                <w:color w:val="FF0000"/>
              </w:rPr>
              <w:t>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17B7FC05" w:rsidR="00A7397A" w:rsidRDefault="00A7397A" w:rsidP="00A7397A">
            <w:pPr>
              <w:pStyle w:val="ListParagraph"/>
              <w:numPr>
                <w:ilvl w:val="0"/>
                <w:numId w:val="8"/>
              </w:numPr>
              <w:autoSpaceDE w:val="0"/>
              <w:autoSpaceDN w:val="0"/>
              <w:adjustRightInd w:val="0"/>
              <w:ind w:left="226" w:hanging="270"/>
            </w:pPr>
            <w:r>
              <w:t xml:space="preserve">Store </w:t>
            </w:r>
            <w:r w:rsidR="00B129E9">
              <w:t>Rubidium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B129E9">
              <w:t>Rubidium</w:t>
            </w:r>
            <w:r w:rsidR="00CF0D17">
              <w:t xml:space="preserve"> hydroxide</w:t>
            </w:r>
            <w:r>
              <w:t xml:space="preserve">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14F8CD32" w:rsidR="00A7397A" w:rsidRPr="00475F0C" w:rsidRDefault="00A7397A" w:rsidP="00A7397A">
            <w:pPr>
              <w:pStyle w:val="ListParagraph"/>
              <w:numPr>
                <w:ilvl w:val="0"/>
                <w:numId w:val="8"/>
              </w:numPr>
              <w:autoSpaceDE w:val="0"/>
              <w:autoSpaceDN w:val="0"/>
              <w:adjustRightInd w:val="0"/>
              <w:ind w:left="226" w:hanging="270"/>
            </w:pPr>
            <w:r>
              <w:t xml:space="preserve">Store </w:t>
            </w:r>
            <w:r w:rsidR="00B129E9">
              <w:t>Rubidium</w:t>
            </w:r>
            <w:r w:rsidR="00CF0D17">
              <w:t xml:space="preserve"> hydroxide</w:t>
            </w:r>
            <w:r>
              <w:t xml:space="preserve"> in a designated, labeled, secure storage area away from other types of chemicals. Avoid incompatible chemicals such </w:t>
            </w:r>
            <w:r w:rsidR="001E0B4D">
              <w:t xml:space="preserve">as </w:t>
            </w:r>
            <w:r w:rsidR="003C5E3C">
              <w:rPr>
                <w:rFonts w:ascii="Helvetica" w:hAnsi="Helvetica" w:cs="Helvetica"/>
              </w:rPr>
              <w:t>strong acids, strong oxidizing and reducing agents, flammables, and metals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47F46791" w:rsidR="00A7397A" w:rsidRDefault="00A7397A" w:rsidP="00A7397A">
            <w:pPr>
              <w:pStyle w:val="ListParagraph"/>
              <w:numPr>
                <w:ilvl w:val="0"/>
                <w:numId w:val="8"/>
              </w:numPr>
              <w:autoSpaceDE w:val="0"/>
              <w:autoSpaceDN w:val="0"/>
              <w:adjustRightInd w:val="0"/>
              <w:ind w:left="226" w:hanging="270"/>
            </w:pPr>
            <w:r>
              <w:t xml:space="preserve">Transport </w:t>
            </w:r>
            <w:r w:rsidR="00B129E9">
              <w:t>Rubidium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6B8F4F1D"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w:t>
            </w:r>
            <w:r w:rsidR="00B129E9">
              <w:rPr>
                <w:b/>
                <w:bCs/>
                <w:color w:val="FF0000"/>
              </w:rPr>
              <w:t>Rubidium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08D492CA" w14:textId="77777777" w:rsidR="00BE1782" w:rsidRDefault="00BE1782">
      <w:pPr>
        <w:rPr>
          <w:rFonts w:ascii="Times New Roman" w:eastAsia="Calibri" w:hAnsi="Times New Roman"/>
          <w:b/>
          <w:sz w:val="28"/>
          <w:szCs w:val="28"/>
        </w:rPr>
      </w:pPr>
    </w:p>
    <w:p w14:paraId="0DFF7E63" w14:textId="77777777" w:rsidR="003C5E3C" w:rsidRDefault="003C5E3C">
      <w:pPr>
        <w:rPr>
          <w:rFonts w:ascii="Times New Roman" w:eastAsia="Calibri" w:hAnsi="Times New Roman"/>
          <w:b/>
          <w:sz w:val="28"/>
          <w:szCs w:val="28"/>
        </w:rPr>
      </w:pPr>
    </w:p>
    <w:p w14:paraId="2A53B0E1" w14:textId="77777777" w:rsidR="003C5E3C" w:rsidRDefault="003C5E3C">
      <w:pPr>
        <w:rPr>
          <w:rFonts w:ascii="Times New Roman" w:eastAsia="Calibri" w:hAnsi="Times New Roman"/>
          <w:b/>
          <w:sz w:val="28"/>
          <w:szCs w:val="28"/>
        </w:rPr>
      </w:pPr>
    </w:p>
    <w:p w14:paraId="3710F545" w14:textId="77777777" w:rsidR="003C5E3C" w:rsidRDefault="003C5E3C">
      <w:pPr>
        <w:rPr>
          <w:rFonts w:ascii="Times New Roman" w:eastAsia="Calibri" w:hAnsi="Times New Roman"/>
          <w:b/>
          <w:sz w:val="28"/>
          <w:szCs w:val="28"/>
        </w:rPr>
      </w:pPr>
    </w:p>
    <w:p w14:paraId="6DB43C8F" w14:textId="77777777" w:rsidR="003C5E3C" w:rsidRDefault="003C5E3C">
      <w:pPr>
        <w:rPr>
          <w:rFonts w:ascii="Times New Roman" w:eastAsia="Calibri" w:hAnsi="Times New Roman"/>
          <w:b/>
          <w:sz w:val="28"/>
          <w:szCs w:val="28"/>
        </w:rPr>
      </w:pPr>
    </w:p>
    <w:p w14:paraId="05736D10" w14:textId="77777777" w:rsidR="003C5E3C" w:rsidRDefault="003C5E3C">
      <w:pPr>
        <w:rPr>
          <w:rFonts w:ascii="Times New Roman" w:eastAsia="Calibri" w:hAnsi="Times New Roman"/>
          <w:b/>
          <w:sz w:val="28"/>
          <w:szCs w:val="28"/>
        </w:rPr>
      </w:pPr>
    </w:p>
    <w:p w14:paraId="030B2410" w14:textId="77777777" w:rsidR="003C5E3C" w:rsidRDefault="003C5E3C">
      <w:pPr>
        <w:rPr>
          <w:rFonts w:ascii="Times New Roman" w:eastAsia="Calibri" w:hAnsi="Times New Roman"/>
          <w:b/>
          <w:sz w:val="28"/>
          <w:szCs w:val="28"/>
        </w:rPr>
      </w:pPr>
    </w:p>
    <w:p w14:paraId="25F3A930" w14:textId="77777777" w:rsidR="003C5E3C" w:rsidRDefault="003C5E3C">
      <w:pPr>
        <w:rPr>
          <w:rFonts w:ascii="Times New Roman" w:eastAsia="Calibri" w:hAnsi="Times New Roman"/>
          <w:b/>
          <w:sz w:val="28"/>
          <w:szCs w:val="28"/>
        </w:rPr>
      </w:pPr>
    </w:p>
    <w:p w14:paraId="23B7E113" w14:textId="77777777" w:rsidR="00475F0C" w:rsidRDefault="00475F0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35A3204E"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129E9">
        <w:t>Rubidium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 w:numId="11" w16cid:durableId="114878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048EA"/>
    <w:rsid w:val="000259D7"/>
    <w:rsid w:val="00040087"/>
    <w:rsid w:val="00040E95"/>
    <w:rsid w:val="00055202"/>
    <w:rsid w:val="00063FEF"/>
    <w:rsid w:val="00071EDE"/>
    <w:rsid w:val="00077942"/>
    <w:rsid w:val="00091169"/>
    <w:rsid w:val="00094416"/>
    <w:rsid w:val="000B39EE"/>
    <w:rsid w:val="000C31AA"/>
    <w:rsid w:val="000C345C"/>
    <w:rsid w:val="000C4618"/>
    <w:rsid w:val="00130C03"/>
    <w:rsid w:val="001863CF"/>
    <w:rsid w:val="0019114C"/>
    <w:rsid w:val="001A40F0"/>
    <w:rsid w:val="001B4386"/>
    <w:rsid w:val="001D03E6"/>
    <w:rsid w:val="001D4676"/>
    <w:rsid w:val="001D7D66"/>
    <w:rsid w:val="001E0B4D"/>
    <w:rsid w:val="001E2EE4"/>
    <w:rsid w:val="00202743"/>
    <w:rsid w:val="002266CB"/>
    <w:rsid w:val="002A2444"/>
    <w:rsid w:val="002D3B36"/>
    <w:rsid w:val="0032360C"/>
    <w:rsid w:val="00332078"/>
    <w:rsid w:val="00352450"/>
    <w:rsid w:val="00384413"/>
    <w:rsid w:val="00390012"/>
    <w:rsid w:val="003958C1"/>
    <w:rsid w:val="003A075E"/>
    <w:rsid w:val="003A1F99"/>
    <w:rsid w:val="003A50A7"/>
    <w:rsid w:val="003C5E3C"/>
    <w:rsid w:val="003E3CD1"/>
    <w:rsid w:val="003F3B65"/>
    <w:rsid w:val="004030D9"/>
    <w:rsid w:val="00412294"/>
    <w:rsid w:val="00446496"/>
    <w:rsid w:val="00475F0C"/>
    <w:rsid w:val="0048157D"/>
    <w:rsid w:val="00482058"/>
    <w:rsid w:val="004B23FC"/>
    <w:rsid w:val="004C01C7"/>
    <w:rsid w:val="004C2C8F"/>
    <w:rsid w:val="005111B5"/>
    <w:rsid w:val="005130F9"/>
    <w:rsid w:val="00513C42"/>
    <w:rsid w:val="00533199"/>
    <w:rsid w:val="00540E38"/>
    <w:rsid w:val="00550E79"/>
    <w:rsid w:val="005B2F1B"/>
    <w:rsid w:val="005B3FB6"/>
    <w:rsid w:val="005B6C75"/>
    <w:rsid w:val="005D0CC8"/>
    <w:rsid w:val="005D4BF4"/>
    <w:rsid w:val="00604919"/>
    <w:rsid w:val="00630D30"/>
    <w:rsid w:val="006369D7"/>
    <w:rsid w:val="00647DD0"/>
    <w:rsid w:val="00684850"/>
    <w:rsid w:val="006B1463"/>
    <w:rsid w:val="006C6441"/>
    <w:rsid w:val="006D6D9E"/>
    <w:rsid w:val="006F1075"/>
    <w:rsid w:val="00705BEA"/>
    <w:rsid w:val="00722BEA"/>
    <w:rsid w:val="00724A79"/>
    <w:rsid w:val="007500D1"/>
    <w:rsid w:val="00767138"/>
    <w:rsid w:val="007B7D7E"/>
    <w:rsid w:val="007C4468"/>
    <w:rsid w:val="008153EC"/>
    <w:rsid w:val="00822079"/>
    <w:rsid w:val="00824106"/>
    <w:rsid w:val="00827C74"/>
    <w:rsid w:val="008458B1"/>
    <w:rsid w:val="0085167C"/>
    <w:rsid w:val="00853A9B"/>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A124D0"/>
    <w:rsid w:val="00A25172"/>
    <w:rsid w:val="00A27893"/>
    <w:rsid w:val="00A52324"/>
    <w:rsid w:val="00A7397A"/>
    <w:rsid w:val="00A7648F"/>
    <w:rsid w:val="00A9638C"/>
    <w:rsid w:val="00AC1B9F"/>
    <w:rsid w:val="00AD30CC"/>
    <w:rsid w:val="00AE0CC4"/>
    <w:rsid w:val="00AE3463"/>
    <w:rsid w:val="00AF41CE"/>
    <w:rsid w:val="00B0388D"/>
    <w:rsid w:val="00B113D7"/>
    <w:rsid w:val="00B129E9"/>
    <w:rsid w:val="00B22BB5"/>
    <w:rsid w:val="00B35C2F"/>
    <w:rsid w:val="00B62905"/>
    <w:rsid w:val="00B92662"/>
    <w:rsid w:val="00BA031F"/>
    <w:rsid w:val="00BA2A61"/>
    <w:rsid w:val="00BA7BB5"/>
    <w:rsid w:val="00BB4092"/>
    <w:rsid w:val="00BD32D6"/>
    <w:rsid w:val="00BE1782"/>
    <w:rsid w:val="00C04DD1"/>
    <w:rsid w:val="00C1691E"/>
    <w:rsid w:val="00C30951"/>
    <w:rsid w:val="00C4370F"/>
    <w:rsid w:val="00C83F8D"/>
    <w:rsid w:val="00C9780D"/>
    <w:rsid w:val="00CD4E2B"/>
    <w:rsid w:val="00CE0431"/>
    <w:rsid w:val="00CE627C"/>
    <w:rsid w:val="00CF0D17"/>
    <w:rsid w:val="00CF3641"/>
    <w:rsid w:val="00CF6FC9"/>
    <w:rsid w:val="00D17B58"/>
    <w:rsid w:val="00D2140C"/>
    <w:rsid w:val="00D65AAB"/>
    <w:rsid w:val="00D80E1D"/>
    <w:rsid w:val="00D9342E"/>
    <w:rsid w:val="00DA502F"/>
    <w:rsid w:val="00DB3A69"/>
    <w:rsid w:val="00DE4013"/>
    <w:rsid w:val="00E0375B"/>
    <w:rsid w:val="00E054DF"/>
    <w:rsid w:val="00E05A80"/>
    <w:rsid w:val="00E3706D"/>
    <w:rsid w:val="00E40AC3"/>
    <w:rsid w:val="00E5789E"/>
    <w:rsid w:val="00E62B49"/>
    <w:rsid w:val="00E66433"/>
    <w:rsid w:val="00E8646F"/>
    <w:rsid w:val="00E9180D"/>
    <w:rsid w:val="00EB637C"/>
    <w:rsid w:val="00ED0FA7"/>
    <w:rsid w:val="00F04F6C"/>
    <w:rsid w:val="00F13C16"/>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66471685">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744452511">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191188108">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14706301">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9681209">
      <w:bodyDiv w:val="1"/>
      <w:marLeft w:val="0"/>
      <w:marRight w:val="0"/>
      <w:marTop w:val="0"/>
      <w:marBottom w:val="0"/>
      <w:divBdr>
        <w:top w:val="none" w:sz="0" w:space="0" w:color="auto"/>
        <w:left w:val="none" w:sz="0" w:space="0" w:color="auto"/>
        <w:bottom w:val="none" w:sz="0" w:space="0" w:color="auto"/>
        <w:right w:val="none" w:sz="0" w:space="0" w:color="auto"/>
      </w:divBdr>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2006-08-31T21:46:00Z</cp:lastPrinted>
  <dcterms:created xsi:type="dcterms:W3CDTF">2024-05-23T15:32:00Z</dcterms:created>
  <dcterms:modified xsi:type="dcterms:W3CDTF">2024-05-23T16:41:00Z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