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A4973" w14:textId="6D33EB63" w:rsidR="003E3CD1" w:rsidRPr="00E37318" w:rsidRDefault="003E3CD1" w:rsidP="00F11E85">
      <w:pPr>
        <w:pStyle w:val="Heading1"/>
        <w:jc w:val="center"/>
        <w:rPr>
          <w:b w:val="0"/>
          <w:bCs/>
          <w:sz w:val="36"/>
          <w:szCs w:val="36"/>
        </w:rPr>
      </w:pPr>
      <w:r w:rsidRPr="00E37318">
        <w:rPr>
          <w:b w:val="0"/>
          <w:bCs/>
          <w:sz w:val="36"/>
          <w:szCs w:val="36"/>
        </w:rPr>
        <w:t xml:space="preserve">STANDARD OPERATING PROCEDURE </w:t>
      </w:r>
    </w:p>
    <w:p w14:paraId="3FA065F1" w14:textId="64A78643" w:rsidR="003E3CD1" w:rsidRDefault="003E3CD1" w:rsidP="00E37318"/>
    <w:p w14:paraId="0773ABFE" w14:textId="70320FFB" w:rsidR="008153EC" w:rsidRDefault="00FA324E" w:rsidP="00A121AD">
      <w:pPr>
        <w:pStyle w:val="Heading2"/>
        <w:rPr>
          <w:b w:val="0"/>
          <w:bCs/>
          <w:sz w:val="28"/>
          <w:szCs w:val="28"/>
        </w:rPr>
      </w:pPr>
      <w:r>
        <w:rPr>
          <w:b w:val="0"/>
          <w:bCs/>
          <w:sz w:val="28"/>
          <w:szCs w:val="28"/>
        </w:rPr>
        <w:t>Pyrophoric</w:t>
      </w:r>
      <w:r w:rsidR="00536739">
        <w:rPr>
          <w:b w:val="0"/>
          <w:bCs/>
          <w:sz w:val="28"/>
          <w:szCs w:val="28"/>
        </w:rPr>
        <w:t xml:space="preserve"> Chemicals</w:t>
      </w:r>
    </w:p>
    <w:p w14:paraId="40CA28BA" w14:textId="77777777" w:rsidR="00B54920" w:rsidRDefault="00B54920" w:rsidP="00942E96">
      <w:pPr>
        <w:rPr>
          <w:b/>
          <w:bCs/>
          <w:color w:val="FF0000"/>
        </w:rPr>
      </w:pPr>
    </w:p>
    <w:p w14:paraId="7CC80FF5" w14:textId="0A52E376" w:rsidR="00280221" w:rsidRPr="00280221" w:rsidRDefault="00280221" w:rsidP="00280221">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 xml:space="preserve">n red after you have </w:t>
      </w:r>
      <w:r w:rsidR="00B35B39">
        <w:rPr>
          <w:b/>
          <w:bCs/>
          <w:color w:val="FF0000"/>
        </w:rPr>
        <w:t>added</w:t>
      </w:r>
      <w:r w:rsidRPr="00280221">
        <w:rPr>
          <w:b/>
          <w:bCs/>
          <w:color w:val="FF0000"/>
        </w:rPr>
        <w:t xml:space="preserve"> all your lab-specific information. Modify general information as needed.</w:t>
      </w:r>
    </w:p>
    <w:p w14:paraId="7B99E6CB"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7313"/>
      </w:tblGrid>
      <w:tr w:rsidR="003E3CD1" w14:paraId="6F152499" w14:textId="77777777" w:rsidTr="00765098">
        <w:trPr>
          <w:trHeight w:val="980"/>
        </w:trPr>
        <w:tc>
          <w:tcPr>
            <w:tcW w:w="2497" w:type="dxa"/>
          </w:tcPr>
          <w:p w14:paraId="2E29ABB9" w14:textId="0FDF0942" w:rsidR="003E3CD1" w:rsidRPr="00803CEB" w:rsidRDefault="003E3CD1" w:rsidP="000B2958">
            <w:pPr>
              <w:rPr>
                <w:b/>
                <w:bCs/>
              </w:rPr>
            </w:pPr>
            <w:r w:rsidRPr="00803CEB">
              <w:rPr>
                <w:b/>
                <w:bCs/>
              </w:rPr>
              <w:t xml:space="preserve">1. </w:t>
            </w:r>
            <w:r w:rsidR="00F063D6">
              <w:rPr>
                <w:b/>
                <w:bCs/>
              </w:rPr>
              <w:t xml:space="preserve"> </w:t>
            </w:r>
            <w:r w:rsidR="007A2ACF" w:rsidRPr="00803CEB">
              <w:rPr>
                <w:b/>
                <w:bCs/>
              </w:rPr>
              <w:t>LAB INFORMATION</w:t>
            </w:r>
          </w:p>
          <w:p w14:paraId="0FAD944E" w14:textId="77777777" w:rsidR="003E3CD1" w:rsidRDefault="003E3CD1"/>
        </w:tc>
        <w:tc>
          <w:tcPr>
            <w:tcW w:w="7313" w:type="dxa"/>
          </w:tcPr>
          <w:p w14:paraId="39FCAB03" w14:textId="6433C3AF" w:rsidR="00F11E85" w:rsidRPr="00803CEB" w:rsidRDefault="00A121AD" w:rsidP="00A52324">
            <w:pPr>
              <w:rPr>
                <w:rFonts w:cs="Arial"/>
                <w:b/>
              </w:rPr>
            </w:pPr>
            <w:r w:rsidRPr="00526230">
              <w:rPr>
                <w:rFonts w:cs="Arial"/>
                <w:b/>
                <w:u w:val="single"/>
              </w:rPr>
              <w:t>Building</w:t>
            </w:r>
            <w:r w:rsidR="00F11E85" w:rsidRPr="00803CEB">
              <w:rPr>
                <w:rFonts w:cs="Arial"/>
                <w:b/>
              </w:rPr>
              <w:t xml:space="preserve">: </w:t>
            </w:r>
          </w:p>
          <w:p w14:paraId="53F68A87" w14:textId="77777777" w:rsidR="00F11E85" w:rsidRPr="00803CEB" w:rsidRDefault="00F11E85" w:rsidP="00A52324">
            <w:pPr>
              <w:rPr>
                <w:rFonts w:cs="Arial"/>
                <w:b/>
              </w:rPr>
            </w:pPr>
          </w:p>
          <w:p w14:paraId="111F1B60" w14:textId="6A9C741F" w:rsidR="00A121AD" w:rsidRPr="00803CEB" w:rsidRDefault="00A121AD" w:rsidP="00A52324">
            <w:pPr>
              <w:rPr>
                <w:rFonts w:cs="Arial"/>
                <w:b/>
              </w:rPr>
            </w:pPr>
            <w:r w:rsidRPr="00526230">
              <w:rPr>
                <w:rFonts w:cs="Arial"/>
                <w:b/>
                <w:u w:val="single"/>
              </w:rPr>
              <w:t>Room</w:t>
            </w:r>
            <w:r w:rsidR="00526230">
              <w:rPr>
                <w:rFonts w:cs="Arial"/>
                <w:b/>
                <w:u w:val="single"/>
              </w:rPr>
              <w:t>(s)</w:t>
            </w:r>
            <w:r w:rsidR="00F11E85" w:rsidRPr="00803CEB">
              <w:rPr>
                <w:rFonts w:cs="Arial"/>
                <w:b/>
              </w:rPr>
              <w:t xml:space="preserve">: </w:t>
            </w:r>
          </w:p>
          <w:p w14:paraId="46CA4053" w14:textId="77777777" w:rsidR="00F11E85" w:rsidRPr="00803CEB" w:rsidRDefault="00F11E85" w:rsidP="00A52324">
            <w:pPr>
              <w:rPr>
                <w:rFonts w:cs="Arial"/>
                <w:b/>
              </w:rPr>
            </w:pPr>
          </w:p>
          <w:p w14:paraId="72EBAF45" w14:textId="700004C8" w:rsidR="00F11E85" w:rsidRPr="00803CEB" w:rsidRDefault="00F11E85" w:rsidP="00A52324">
            <w:pPr>
              <w:rPr>
                <w:rFonts w:cs="Arial"/>
                <w:b/>
              </w:rPr>
            </w:pPr>
            <w:r w:rsidRPr="00526230">
              <w:rPr>
                <w:rFonts w:cs="Arial"/>
                <w:b/>
                <w:u w:val="single"/>
              </w:rPr>
              <w:t>Department</w:t>
            </w:r>
            <w:r w:rsidRPr="00803CEB">
              <w:rPr>
                <w:rFonts w:cs="Arial"/>
                <w:b/>
              </w:rPr>
              <w:t xml:space="preserve">: </w:t>
            </w:r>
          </w:p>
          <w:p w14:paraId="5936731A" w14:textId="77777777" w:rsidR="00F11E85" w:rsidRPr="00803CEB" w:rsidRDefault="00F11E85" w:rsidP="00A52324">
            <w:pPr>
              <w:rPr>
                <w:rFonts w:cs="Arial"/>
                <w:b/>
              </w:rPr>
            </w:pPr>
          </w:p>
          <w:p w14:paraId="32971590" w14:textId="4C1ACA94" w:rsidR="00F11E85" w:rsidRPr="00803CEB" w:rsidRDefault="00F11E85" w:rsidP="00A52324">
            <w:pPr>
              <w:rPr>
                <w:rFonts w:cs="Arial"/>
                <w:b/>
              </w:rPr>
            </w:pPr>
            <w:r w:rsidRPr="00526230">
              <w:rPr>
                <w:rFonts w:cs="Arial"/>
                <w:b/>
                <w:u w:val="single"/>
              </w:rPr>
              <w:t>Principal Investigator Name</w:t>
            </w:r>
            <w:r w:rsidRPr="00803CEB">
              <w:rPr>
                <w:rFonts w:cs="Arial"/>
                <w:b/>
              </w:rPr>
              <w:t xml:space="preserve">: </w:t>
            </w:r>
          </w:p>
          <w:p w14:paraId="154F5AF2" w14:textId="77777777" w:rsidR="00F11E85" w:rsidRPr="00803CEB" w:rsidRDefault="00F11E85" w:rsidP="00A52324">
            <w:pPr>
              <w:rPr>
                <w:rFonts w:cs="Arial"/>
                <w:b/>
              </w:rPr>
            </w:pPr>
          </w:p>
          <w:p w14:paraId="61E21761" w14:textId="3C2CE3B0" w:rsidR="007A2ACF" w:rsidRDefault="00B96D2D" w:rsidP="00A52324">
            <w:pPr>
              <w:rPr>
                <w:rFonts w:cs="Arial"/>
                <w:b/>
              </w:rPr>
            </w:pPr>
            <w:r>
              <w:rPr>
                <w:rFonts w:cs="Arial"/>
                <w:b/>
                <w:u w:val="single"/>
              </w:rPr>
              <w:t xml:space="preserve">Examples of </w:t>
            </w:r>
            <w:r w:rsidR="00FA324E">
              <w:rPr>
                <w:rFonts w:cs="Arial"/>
                <w:b/>
                <w:u w:val="single"/>
              </w:rPr>
              <w:t>Pyrophoric Chemicals</w:t>
            </w:r>
            <w:r w:rsidR="007A2ACF" w:rsidRPr="00526230">
              <w:rPr>
                <w:rFonts w:cs="Arial"/>
                <w:b/>
                <w:u w:val="single"/>
              </w:rPr>
              <w:t xml:space="preserve"> covered by this SOP</w:t>
            </w:r>
            <w:r w:rsidR="007A2ACF" w:rsidRPr="00803CEB">
              <w:rPr>
                <w:rFonts w:cs="Arial"/>
                <w:b/>
              </w:rPr>
              <w:t xml:space="preserve">: </w:t>
            </w:r>
          </w:p>
          <w:p w14:paraId="54849139" w14:textId="77777777" w:rsidR="002A139F" w:rsidRPr="002A139F" w:rsidRDefault="002A139F" w:rsidP="00A52324">
            <w:pPr>
              <w:rPr>
                <w:rFonts w:cs="Arial"/>
                <w:bCs/>
              </w:rPr>
            </w:pPr>
          </w:p>
          <w:tbl>
            <w:tblPr>
              <w:tblStyle w:val="TableGridLight"/>
              <w:tblW w:w="0" w:type="auto"/>
              <w:tblLayout w:type="fixed"/>
              <w:tblLook w:val="04A0" w:firstRow="1" w:lastRow="0" w:firstColumn="1" w:lastColumn="0" w:noHBand="0" w:noVBand="1"/>
            </w:tblPr>
            <w:tblGrid>
              <w:gridCol w:w="2362"/>
              <w:gridCol w:w="2362"/>
              <w:gridCol w:w="2363"/>
            </w:tblGrid>
            <w:tr w:rsidR="00834C2D" w14:paraId="6FE53D30" w14:textId="77777777" w:rsidTr="002A139F">
              <w:tc>
                <w:tcPr>
                  <w:tcW w:w="2362" w:type="dxa"/>
                </w:tcPr>
                <w:p w14:paraId="243FCF95" w14:textId="3C7BD225" w:rsidR="00834C2D" w:rsidRDefault="00C35739" w:rsidP="00002C13">
                  <w:pPr>
                    <w:rPr>
                      <w:rFonts w:cs="Arial"/>
                      <w:bCs/>
                    </w:rPr>
                  </w:pPr>
                  <w:r>
                    <w:rPr>
                      <w:rFonts w:cs="Arial"/>
                      <w:bCs/>
                    </w:rPr>
                    <w:t xml:space="preserve">Alkyl and Aryl </w:t>
                  </w:r>
                  <w:proofErr w:type="spellStart"/>
                  <w:r>
                    <w:rPr>
                      <w:rFonts w:cs="Arial"/>
                      <w:bCs/>
                    </w:rPr>
                    <w:t>lithiums</w:t>
                  </w:r>
                  <w:proofErr w:type="spellEnd"/>
                </w:p>
              </w:tc>
              <w:tc>
                <w:tcPr>
                  <w:tcW w:w="2362" w:type="dxa"/>
                </w:tcPr>
                <w:p w14:paraId="3F0B4B50" w14:textId="0030CA7C" w:rsidR="00834C2D" w:rsidRDefault="00C35739" w:rsidP="00002C13">
                  <w:pPr>
                    <w:rPr>
                      <w:rFonts w:cs="Arial"/>
                      <w:bCs/>
                    </w:rPr>
                  </w:pPr>
                  <w:r>
                    <w:rPr>
                      <w:rFonts w:cs="Arial"/>
                      <w:bCs/>
                    </w:rPr>
                    <w:t>n-butyllithium</w:t>
                  </w:r>
                </w:p>
              </w:tc>
              <w:tc>
                <w:tcPr>
                  <w:tcW w:w="2363" w:type="dxa"/>
                </w:tcPr>
                <w:p w14:paraId="2F552124" w14:textId="280F7761" w:rsidR="00834C2D" w:rsidRDefault="00C35739" w:rsidP="00002C13">
                  <w:pPr>
                    <w:rPr>
                      <w:rFonts w:cs="Arial"/>
                      <w:bCs/>
                    </w:rPr>
                  </w:pPr>
                  <w:r>
                    <w:rPr>
                      <w:rFonts w:cs="Arial"/>
                      <w:bCs/>
                    </w:rPr>
                    <w:t>t-butyllithium</w:t>
                  </w:r>
                </w:p>
              </w:tc>
            </w:tr>
            <w:tr w:rsidR="00834C2D" w14:paraId="222C5B49" w14:textId="77777777" w:rsidTr="002A139F">
              <w:tc>
                <w:tcPr>
                  <w:tcW w:w="2362" w:type="dxa"/>
                </w:tcPr>
                <w:p w14:paraId="0F6A7DB8" w14:textId="75BCF46A" w:rsidR="00834C2D" w:rsidRDefault="00C35739" w:rsidP="00002C13">
                  <w:pPr>
                    <w:rPr>
                      <w:rFonts w:cs="Arial"/>
                      <w:bCs/>
                    </w:rPr>
                  </w:pPr>
                  <w:r>
                    <w:rPr>
                      <w:rFonts w:cs="Arial"/>
                      <w:bCs/>
                    </w:rPr>
                    <w:t>Lithium amides</w:t>
                  </w:r>
                </w:p>
              </w:tc>
              <w:tc>
                <w:tcPr>
                  <w:tcW w:w="2362" w:type="dxa"/>
                </w:tcPr>
                <w:p w14:paraId="0365C32E" w14:textId="42BFD3C3" w:rsidR="00834C2D" w:rsidRDefault="00C35739" w:rsidP="00002C13">
                  <w:pPr>
                    <w:rPr>
                      <w:rFonts w:cs="Arial"/>
                      <w:bCs/>
                    </w:rPr>
                  </w:pPr>
                  <w:r>
                    <w:rPr>
                      <w:rFonts w:cs="Arial"/>
                      <w:bCs/>
                    </w:rPr>
                    <w:t>Lithium alkoxides</w:t>
                  </w:r>
                </w:p>
              </w:tc>
              <w:tc>
                <w:tcPr>
                  <w:tcW w:w="2363" w:type="dxa"/>
                </w:tcPr>
                <w:p w14:paraId="71FD6C30" w14:textId="2AA42D27" w:rsidR="00834C2D" w:rsidRDefault="00C35739" w:rsidP="00002C13">
                  <w:pPr>
                    <w:rPr>
                      <w:rFonts w:cs="Arial"/>
                      <w:bCs/>
                    </w:rPr>
                  </w:pPr>
                  <w:r>
                    <w:rPr>
                      <w:rFonts w:cs="Arial"/>
                      <w:bCs/>
                    </w:rPr>
                    <w:t>Alkyl and aryl magnesium halides</w:t>
                  </w:r>
                </w:p>
              </w:tc>
            </w:tr>
            <w:tr w:rsidR="00C95BEF" w14:paraId="2C702547" w14:textId="77777777" w:rsidTr="002A139F">
              <w:tc>
                <w:tcPr>
                  <w:tcW w:w="2362" w:type="dxa"/>
                </w:tcPr>
                <w:p w14:paraId="7A2BE695" w14:textId="2EC30378" w:rsidR="00C95BEF" w:rsidRDefault="00C35739" w:rsidP="00C95BEF">
                  <w:pPr>
                    <w:rPr>
                      <w:rFonts w:cs="Arial"/>
                      <w:bCs/>
                    </w:rPr>
                  </w:pPr>
                  <w:proofErr w:type="spellStart"/>
                  <w:r>
                    <w:rPr>
                      <w:rFonts w:cs="Arial"/>
                      <w:bCs/>
                    </w:rPr>
                    <w:t>Methylmagnesium</w:t>
                  </w:r>
                  <w:proofErr w:type="spellEnd"/>
                  <w:r>
                    <w:rPr>
                      <w:rFonts w:cs="Arial"/>
                      <w:bCs/>
                    </w:rPr>
                    <w:t xml:space="preserve"> chloride</w:t>
                  </w:r>
                </w:p>
              </w:tc>
              <w:tc>
                <w:tcPr>
                  <w:tcW w:w="2362" w:type="dxa"/>
                </w:tcPr>
                <w:p w14:paraId="0139DEF7" w14:textId="3BE1BCF9" w:rsidR="00C95BEF" w:rsidRDefault="00C35739" w:rsidP="00C95BEF">
                  <w:pPr>
                    <w:rPr>
                      <w:rFonts w:cs="Arial"/>
                      <w:bCs/>
                    </w:rPr>
                  </w:pPr>
                  <w:proofErr w:type="spellStart"/>
                  <w:r>
                    <w:rPr>
                      <w:rFonts w:cs="Arial"/>
                      <w:bCs/>
                    </w:rPr>
                    <w:t>Allylmagnesium</w:t>
                  </w:r>
                  <w:proofErr w:type="spellEnd"/>
                  <w:r>
                    <w:rPr>
                      <w:rFonts w:cs="Arial"/>
                      <w:bCs/>
                    </w:rPr>
                    <w:t xml:space="preserve"> bromide</w:t>
                  </w:r>
                </w:p>
              </w:tc>
              <w:tc>
                <w:tcPr>
                  <w:tcW w:w="2363" w:type="dxa"/>
                </w:tcPr>
                <w:p w14:paraId="242B4E86" w14:textId="7FCD2F17" w:rsidR="00C95BEF" w:rsidRDefault="00C35739" w:rsidP="00C95BEF">
                  <w:pPr>
                    <w:rPr>
                      <w:rFonts w:cs="Arial"/>
                      <w:bCs/>
                    </w:rPr>
                  </w:pPr>
                  <w:r>
                    <w:rPr>
                      <w:rFonts w:cs="Arial"/>
                      <w:bCs/>
                    </w:rPr>
                    <w:t>Diethyl zinc</w:t>
                  </w:r>
                </w:p>
              </w:tc>
            </w:tr>
            <w:tr w:rsidR="00C95BEF" w14:paraId="7A71BC1E" w14:textId="77777777" w:rsidTr="00873187">
              <w:trPr>
                <w:trHeight w:val="60"/>
              </w:trPr>
              <w:tc>
                <w:tcPr>
                  <w:tcW w:w="2362" w:type="dxa"/>
                </w:tcPr>
                <w:p w14:paraId="25F99DB3" w14:textId="0BB6066B" w:rsidR="00C95BEF" w:rsidRDefault="00C35739" w:rsidP="00C95BEF">
                  <w:pPr>
                    <w:rPr>
                      <w:rFonts w:cs="Arial"/>
                      <w:bCs/>
                    </w:rPr>
                  </w:pPr>
                  <w:r>
                    <w:rPr>
                      <w:rFonts w:cs="Arial"/>
                      <w:bCs/>
                    </w:rPr>
                    <w:t>Trimethylaluminum</w:t>
                  </w:r>
                </w:p>
              </w:tc>
              <w:tc>
                <w:tcPr>
                  <w:tcW w:w="2362" w:type="dxa"/>
                </w:tcPr>
                <w:p w14:paraId="74239100" w14:textId="4584C048" w:rsidR="00C95BEF" w:rsidRDefault="00C35739" w:rsidP="00C95BEF">
                  <w:pPr>
                    <w:rPr>
                      <w:rFonts w:cs="Arial"/>
                      <w:bCs/>
                    </w:rPr>
                  </w:pPr>
                  <w:proofErr w:type="spellStart"/>
                  <w:r>
                    <w:rPr>
                      <w:rFonts w:cs="Arial"/>
                      <w:bCs/>
                    </w:rPr>
                    <w:t>Diiosbutylaluminum</w:t>
                  </w:r>
                  <w:proofErr w:type="spellEnd"/>
                  <w:r>
                    <w:rPr>
                      <w:rFonts w:cs="Arial"/>
                      <w:bCs/>
                    </w:rPr>
                    <w:t xml:space="preserve"> hydride</w:t>
                  </w:r>
                </w:p>
              </w:tc>
              <w:tc>
                <w:tcPr>
                  <w:tcW w:w="2363" w:type="dxa"/>
                </w:tcPr>
                <w:p w14:paraId="137E96F4" w14:textId="4ED550BE" w:rsidR="00C95BEF" w:rsidRDefault="00C35739" w:rsidP="00C95BEF">
                  <w:pPr>
                    <w:rPr>
                      <w:rFonts w:cs="Arial"/>
                      <w:bCs/>
                    </w:rPr>
                  </w:pPr>
                  <w:r>
                    <w:rPr>
                      <w:rFonts w:cs="Arial"/>
                      <w:bCs/>
                    </w:rPr>
                    <w:t>Nickel carbonyl</w:t>
                  </w:r>
                </w:p>
              </w:tc>
            </w:tr>
            <w:tr w:rsidR="00C95BEF" w14:paraId="3B7C6A5E" w14:textId="77777777" w:rsidTr="00873187">
              <w:trPr>
                <w:trHeight w:val="60"/>
              </w:trPr>
              <w:tc>
                <w:tcPr>
                  <w:tcW w:w="2362" w:type="dxa"/>
                </w:tcPr>
                <w:p w14:paraId="5981C79C" w14:textId="429AA7AC" w:rsidR="00C95BEF" w:rsidRDefault="00C35739" w:rsidP="00C95BEF">
                  <w:pPr>
                    <w:rPr>
                      <w:rFonts w:cs="Arial"/>
                      <w:bCs/>
                    </w:rPr>
                  </w:pPr>
                  <w:r>
                    <w:rPr>
                      <w:rFonts w:cs="Arial"/>
                      <w:bCs/>
                    </w:rPr>
                    <w:t>Iron pentacarbonyl</w:t>
                  </w:r>
                </w:p>
              </w:tc>
              <w:tc>
                <w:tcPr>
                  <w:tcW w:w="2362" w:type="dxa"/>
                </w:tcPr>
                <w:p w14:paraId="62D37F97" w14:textId="648B2995" w:rsidR="00C95BEF" w:rsidRDefault="00C35739" w:rsidP="00C95BEF">
                  <w:pPr>
                    <w:rPr>
                      <w:rFonts w:cs="Arial"/>
                      <w:bCs/>
                    </w:rPr>
                  </w:pPr>
                  <w:proofErr w:type="spellStart"/>
                  <w:r>
                    <w:rPr>
                      <w:rFonts w:cs="Arial"/>
                      <w:bCs/>
                    </w:rPr>
                    <w:t>Dichloromethylsilane</w:t>
                  </w:r>
                  <w:proofErr w:type="spellEnd"/>
                </w:p>
              </w:tc>
              <w:tc>
                <w:tcPr>
                  <w:tcW w:w="2363" w:type="dxa"/>
                </w:tcPr>
                <w:p w14:paraId="66D2AE7A" w14:textId="00212545" w:rsidR="00C95BEF" w:rsidRDefault="008D701F" w:rsidP="00C95BEF">
                  <w:pPr>
                    <w:rPr>
                      <w:rFonts w:cs="Arial"/>
                      <w:bCs/>
                    </w:rPr>
                  </w:pPr>
                  <w:r>
                    <w:rPr>
                      <w:rFonts w:cs="Arial"/>
                      <w:bCs/>
                    </w:rPr>
                    <w:t>Lithium Al hydride</w:t>
                  </w:r>
                </w:p>
              </w:tc>
            </w:tr>
            <w:tr w:rsidR="008D701F" w14:paraId="6A5CE8B9" w14:textId="77777777" w:rsidTr="00873187">
              <w:trPr>
                <w:trHeight w:val="60"/>
              </w:trPr>
              <w:tc>
                <w:tcPr>
                  <w:tcW w:w="2362" w:type="dxa"/>
                </w:tcPr>
                <w:p w14:paraId="668DCDB9" w14:textId="3DB47E9D" w:rsidR="008D701F" w:rsidRDefault="008D701F" w:rsidP="00C95BEF">
                  <w:pPr>
                    <w:rPr>
                      <w:rFonts w:cs="Arial"/>
                      <w:bCs/>
                    </w:rPr>
                  </w:pPr>
                  <w:r>
                    <w:rPr>
                      <w:rFonts w:cs="Arial"/>
                      <w:bCs/>
                    </w:rPr>
                    <w:t>Lithium</w:t>
                  </w:r>
                </w:p>
              </w:tc>
              <w:tc>
                <w:tcPr>
                  <w:tcW w:w="2362" w:type="dxa"/>
                </w:tcPr>
                <w:p w14:paraId="691A1975" w14:textId="39278F18" w:rsidR="008D701F" w:rsidRDefault="008D701F" w:rsidP="00C95BEF">
                  <w:pPr>
                    <w:rPr>
                      <w:rFonts w:cs="Arial"/>
                      <w:bCs/>
                    </w:rPr>
                  </w:pPr>
                  <w:r>
                    <w:rPr>
                      <w:rFonts w:cs="Arial"/>
                      <w:bCs/>
                    </w:rPr>
                    <w:t>Sodium</w:t>
                  </w:r>
                </w:p>
              </w:tc>
              <w:tc>
                <w:tcPr>
                  <w:tcW w:w="2363" w:type="dxa"/>
                </w:tcPr>
                <w:p w14:paraId="294F82E2" w14:textId="3FA24B4F" w:rsidR="008D701F" w:rsidRDefault="008D701F" w:rsidP="00C95BEF">
                  <w:pPr>
                    <w:rPr>
                      <w:rFonts w:cs="Arial"/>
                      <w:bCs/>
                    </w:rPr>
                  </w:pPr>
                  <w:r>
                    <w:rPr>
                      <w:rFonts w:cs="Arial"/>
                      <w:bCs/>
                    </w:rPr>
                    <w:t>Raney Nickel</w:t>
                  </w:r>
                </w:p>
              </w:tc>
            </w:tr>
            <w:tr w:rsidR="00C35739" w14:paraId="7D4CC8DC" w14:textId="77777777" w:rsidTr="00873187">
              <w:trPr>
                <w:trHeight w:val="60"/>
              </w:trPr>
              <w:tc>
                <w:tcPr>
                  <w:tcW w:w="2362" w:type="dxa"/>
                </w:tcPr>
                <w:p w14:paraId="19087B55" w14:textId="07B1DB62" w:rsidR="00C35739" w:rsidRDefault="00C35739" w:rsidP="00C95BEF">
                  <w:pPr>
                    <w:rPr>
                      <w:rFonts w:cs="Arial"/>
                      <w:bCs/>
                    </w:rPr>
                  </w:pPr>
                  <w:r>
                    <w:rPr>
                      <w:rFonts w:cs="Arial"/>
                      <w:bCs/>
                    </w:rPr>
                    <w:t>Silane</w:t>
                  </w:r>
                </w:p>
              </w:tc>
              <w:tc>
                <w:tcPr>
                  <w:tcW w:w="2362" w:type="dxa"/>
                </w:tcPr>
                <w:p w14:paraId="757037B4" w14:textId="27E29C6F" w:rsidR="00C35739" w:rsidRDefault="00C35739" w:rsidP="00C95BEF">
                  <w:pPr>
                    <w:rPr>
                      <w:rFonts w:cs="Arial"/>
                      <w:bCs/>
                    </w:rPr>
                  </w:pPr>
                  <w:r>
                    <w:rPr>
                      <w:rFonts w:cs="Arial"/>
                      <w:bCs/>
                    </w:rPr>
                    <w:t>Diborane</w:t>
                  </w:r>
                </w:p>
              </w:tc>
              <w:tc>
                <w:tcPr>
                  <w:tcW w:w="2363" w:type="dxa"/>
                </w:tcPr>
                <w:p w14:paraId="6D15EDB2" w14:textId="68E8944C" w:rsidR="00C35739" w:rsidRDefault="00C35739" w:rsidP="00C95BEF">
                  <w:pPr>
                    <w:rPr>
                      <w:rFonts w:cs="Arial"/>
                      <w:bCs/>
                    </w:rPr>
                  </w:pPr>
                  <w:r>
                    <w:rPr>
                      <w:rFonts w:cs="Arial"/>
                      <w:bCs/>
                    </w:rPr>
                    <w:t>Phosphine</w:t>
                  </w:r>
                </w:p>
              </w:tc>
            </w:tr>
          </w:tbl>
          <w:p w14:paraId="02558CBF" w14:textId="0306599D" w:rsidR="003E3CD1" w:rsidRDefault="003E3CD1" w:rsidP="00F063D6">
            <w:pPr>
              <w:tabs>
                <w:tab w:val="left" w:pos="2952"/>
              </w:tabs>
            </w:pPr>
          </w:p>
          <w:p w14:paraId="18066E77" w14:textId="77777777" w:rsidR="001068AA" w:rsidRDefault="002B1485" w:rsidP="001F7DAA">
            <w:pPr>
              <w:tabs>
                <w:tab w:val="left" w:pos="2952"/>
              </w:tabs>
            </w:pPr>
            <w:r>
              <w:t xml:space="preserve">This SOP supports the use of </w:t>
            </w:r>
            <w:r w:rsidR="00FA324E" w:rsidRPr="001F7DAA">
              <w:rPr>
                <w:b/>
                <w:bCs/>
              </w:rPr>
              <w:t>pyrophoric</w:t>
            </w:r>
            <w:r w:rsidR="00536739" w:rsidRPr="001F7DAA">
              <w:rPr>
                <w:b/>
                <w:bCs/>
              </w:rPr>
              <w:t xml:space="preserve"> chemicals</w:t>
            </w:r>
            <w:r w:rsidR="0020494A">
              <w:t xml:space="preserve">, which </w:t>
            </w:r>
            <w:r w:rsidR="00706DC4">
              <w:t>are chemicals</w:t>
            </w:r>
            <w:r w:rsidR="0020494A">
              <w:t xml:space="preserve"> that will ignite spontaneously in air at or below 130 °F</w:t>
            </w:r>
            <w:r w:rsidR="008801DE">
              <w:t xml:space="preserve"> (gases) or within 5 minutes of coming into contact with air (liquids and solids)</w:t>
            </w:r>
            <w:r w:rsidR="0020494A">
              <w:t>.</w:t>
            </w:r>
            <w:r w:rsidR="002E1316">
              <w:t xml:space="preserve"> These chemicals are useful to research and many are essential to catalyze certain reactions or are incorporated into final products. </w:t>
            </w:r>
            <w:r w:rsidR="00D1346D">
              <w:t>Since they are typically packaged and stored under an inert atmosphere, under oil, or within a solvent, appropriate methods must be utilized to preserve the material during storage and while dispensing.</w:t>
            </w:r>
          </w:p>
          <w:p w14:paraId="261E2F9B" w14:textId="33F34E0F" w:rsidR="001F7DAA" w:rsidRDefault="001F7DAA" w:rsidP="001F7DAA">
            <w:pPr>
              <w:tabs>
                <w:tab w:val="left" w:pos="2952"/>
              </w:tabs>
            </w:pPr>
          </w:p>
        </w:tc>
      </w:tr>
      <w:tr w:rsidR="003E3CD1" w14:paraId="12C4916B" w14:textId="77777777" w:rsidTr="00405284">
        <w:tc>
          <w:tcPr>
            <w:tcW w:w="2497" w:type="dxa"/>
          </w:tcPr>
          <w:p w14:paraId="70E80999" w14:textId="77777777" w:rsidR="00E40EE8" w:rsidRDefault="003E3CD1">
            <w:pPr>
              <w:rPr>
                <w:b/>
                <w:bCs/>
              </w:rPr>
            </w:pPr>
            <w:r w:rsidRPr="00803CEB">
              <w:rPr>
                <w:b/>
                <w:bCs/>
              </w:rPr>
              <w:t xml:space="preserve">2. </w:t>
            </w:r>
            <w:r w:rsidR="00F063D6">
              <w:rPr>
                <w:b/>
                <w:bCs/>
              </w:rPr>
              <w:t xml:space="preserve"> </w:t>
            </w:r>
            <w:r w:rsidR="00E40EE8">
              <w:rPr>
                <w:b/>
                <w:bCs/>
              </w:rPr>
              <w:t>PHYSICAL &amp;</w:t>
            </w:r>
          </w:p>
          <w:p w14:paraId="60F5F81B" w14:textId="3C7553F5" w:rsidR="003E3CD1" w:rsidRPr="00803CEB" w:rsidRDefault="00E40EE8">
            <w:pPr>
              <w:rPr>
                <w:b/>
                <w:bCs/>
              </w:rPr>
            </w:pPr>
            <w:r>
              <w:rPr>
                <w:b/>
                <w:bCs/>
              </w:rPr>
              <w:t xml:space="preserve">     HEALTH </w:t>
            </w:r>
            <w:r w:rsidR="003E3CD1" w:rsidRPr="00803CEB">
              <w:rPr>
                <w:b/>
                <w:bCs/>
              </w:rPr>
              <w:t xml:space="preserve">HAZARDS </w:t>
            </w:r>
          </w:p>
          <w:p w14:paraId="573C09A3" w14:textId="77777777" w:rsidR="003E3CD1" w:rsidRPr="00803CEB" w:rsidRDefault="003E3CD1">
            <w:pPr>
              <w:rPr>
                <w:b/>
                <w:bCs/>
              </w:rPr>
            </w:pPr>
          </w:p>
          <w:p w14:paraId="354A8649" w14:textId="77777777" w:rsidR="003E3CD1" w:rsidRPr="00803CEB" w:rsidRDefault="003E3CD1">
            <w:pPr>
              <w:rPr>
                <w:b/>
                <w:bCs/>
              </w:rPr>
            </w:pPr>
          </w:p>
        </w:tc>
        <w:tc>
          <w:tcPr>
            <w:tcW w:w="7313" w:type="dxa"/>
          </w:tcPr>
          <w:p w14:paraId="5F9CA30B" w14:textId="4937ECCE" w:rsidR="00A73B3F" w:rsidRDefault="00FA324E" w:rsidP="000B2958">
            <w:r w:rsidRPr="0047468A">
              <w:rPr>
                <w:b/>
                <w:bCs/>
              </w:rPr>
              <w:t>Pyrophoric</w:t>
            </w:r>
            <w:r w:rsidR="00536739" w:rsidRPr="0047468A">
              <w:rPr>
                <w:b/>
                <w:bCs/>
              </w:rPr>
              <w:t xml:space="preserve"> chemicals</w:t>
            </w:r>
            <w:r w:rsidR="004C2E24">
              <w:t xml:space="preserve"> </w:t>
            </w:r>
            <w:r w:rsidR="00AA0801">
              <w:t xml:space="preserve">may react violently with </w:t>
            </w:r>
            <w:r w:rsidR="00B2787C">
              <w:t xml:space="preserve">oxygen or </w:t>
            </w:r>
            <w:r w:rsidR="003E5E16">
              <w:t>moisture</w:t>
            </w:r>
            <w:r w:rsidR="00B2787C">
              <w:t xml:space="preserve"> </w:t>
            </w:r>
            <w:r w:rsidR="003E5E16">
              <w:t>in the air</w:t>
            </w:r>
            <w:r w:rsidR="00AA0801">
              <w:t xml:space="preserve"> to </w:t>
            </w:r>
            <w:r w:rsidR="000D78C8">
              <w:t xml:space="preserve">ignite spontaneously or </w:t>
            </w:r>
            <w:r w:rsidR="00AA0801">
              <w:t>produce flammable</w:t>
            </w:r>
            <w:r w:rsidR="00327616">
              <w:t xml:space="preserve">, </w:t>
            </w:r>
            <w:r w:rsidR="00B423F5">
              <w:t>corrosive</w:t>
            </w:r>
            <w:r w:rsidR="00327616">
              <w:t>, or toxic</w:t>
            </w:r>
            <w:r w:rsidR="00AA0801">
              <w:t xml:space="preserve"> gas and heat.</w:t>
            </w:r>
            <w:r w:rsidR="00AD1294">
              <w:t xml:space="preserve"> They must have limited to no exposure to the atmosphere. Exposure of these reagents to air could result in spontaneous ignition that could cause burns or other injuries to the person handling the reagent or others in the immediate area</w:t>
            </w:r>
            <w:r w:rsidR="000D78C8">
              <w:t xml:space="preserve">. </w:t>
            </w:r>
            <w:r w:rsidR="00E3420F">
              <w:t xml:space="preserve">Most </w:t>
            </w:r>
            <w:proofErr w:type="spellStart"/>
            <w:r w:rsidR="00E3420F">
              <w:t>pyrophorics</w:t>
            </w:r>
            <w:proofErr w:type="spellEnd"/>
            <w:r w:rsidR="00E3420F">
              <w:t xml:space="preserve"> may also be classified as water-</w:t>
            </w:r>
            <w:proofErr w:type="spellStart"/>
            <w:r w:rsidR="00E3420F">
              <w:t>reactives</w:t>
            </w:r>
            <w:proofErr w:type="spellEnd"/>
            <w:r w:rsidR="00E3420F">
              <w:t>, however, not all water-</w:t>
            </w:r>
            <w:proofErr w:type="spellStart"/>
            <w:r w:rsidR="00E3420F">
              <w:t>reactives</w:t>
            </w:r>
            <w:proofErr w:type="spellEnd"/>
            <w:r w:rsidR="00E3420F">
              <w:t xml:space="preserve"> are pyrophoric.</w:t>
            </w:r>
            <w:r w:rsidR="00CB3072">
              <w:t xml:space="preserve"> </w:t>
            </w:r>
            <w:r w:rsidR="00CB3072" w:rsidRPr="00CB3072">
              <w:t>Pyrophoric solids generally smolder before igniting; pyrophoric liquids generally ignite immediately on</w:t>
            </w:r>
            <w:r w:rsidR="00CB3072">
              <w:t xml:space="preserve"> </w:t>
            </w:r>
            <w:r w:rsidR="00CB3072" w:rsidRPr="00CB3072">
              <w:t>exposure to air; pyrophoric gases may form jet fires if escaping from a vessel following a mechanical</w:t>
            </w:r>
            <w:r w:rsidR="00CB3072">
              <w:t xml:space="preserve"> </w:t>
            </w:r>
            <w:r w:rsidR="00CB3072" w:rsidRPr="00CB3072">
              <w:t>failure.</w:t>
            </w:r>
          </w:p>
          <w:p w14:paraId="69AF40A3" w14:textId="77777777" w:rsidR="00A73B3F" w:rsidRDefault="00A73B3F" w:rsidP="000B2958"/>
          <w:p w14:paraId="35F64FAE" w14:textId="088AC4C4" w:rsidR="000D78C8" w:rsidRDefault="00A73B3F" w:rsidP="000B2958">
            <w:r>
              <w:t>Released flammable gas (e.g. hydrogen</w:t>
            </w:r>
            <w:r w:rsidR="00393B2F">
              <w:t>, methane</w:t>
            </w:r>
            <w:r>
              <w:t xml:space="preserve">) may form explosive mixtures with air. These mixtures may be ignited through </w:t>
            </w:r>
            <w:r w:rsidR="00393B2F">
              <w:t xml:space="preserve">the heat of reaction or other </w:t>
            </w:r>
            <w:r>
              <w:t>ignition sources</w:t>
            </w:r>
            <w:r w:rsidR="00393B2F">
              <w:t xml:space="preserve">, resulting in fire or explosion </w:t>
            </w:r>
            <w:r>
              <w:t>which may injure people and destroy property.</w:t>
            </w:r>
          </w:p>
          <w:p w14:paraId="66125029" w14:textId="77777777" w:rsidR="000D78C8" w:rsidRDefault="000D78C8" w:rsidP="000B2958"/>
          <w:p w14:paraId="2AAFE6FE" w14:textId="4304881C" w:rsidR="00AD1294" w:rsidRDefault="00CB3072" w:rsidP="000B2958">
            <w:r>
              <w:t>These chemicals can also pose additional health risks and be h</w:t>
            </w:r>
            <w:r w:rsidRPr="005B6EB9">
              <w:t>armful</w:t>
            </w:r>
            <w:r>
              <w:t xml:space="preserve"> </w:t>
            </w:r>
            <w:r w:rsidRPr="005B6EB9">
              <w:t>when</w:t>
            </w:r>
            <w:r>
              <w:t xml:space="preserve"> they are ingested, absorbed through the skin, or are inhaled. They can c</w:t>
            </w:r>
            <w:r w:rsidRPr="005B6EB9">
              <w:t>ause</w:t>
            </w:r>
            <w:r>
              <w:t xml:space="preserve"> skin irritation </w:t>
            </w:r>
            <w:r w:rsidRPr="005B6EB9">
              <w:t>and eye damage</w:t>
            </w:r>
            <w:r>
              <w:t>, potentially leading to blindness</w:t>
            </w:r>
            <w:r w:rsidRPr="005B6EB9">
              <w:t>.</w:t>
            </w:r>
            <w:r>
              <w:t xml:space="preserve"> </w:t>
            </w:r>
            <w:r w:rsidRPr="005B6EB9">
              <w:t xml:space="preserve">Ingestion can cause severe injury </w:t>
            </w:r>
            <w:r>
              <w:t>to the digestive tract</w:t>
            </w:r>
            <w:r w:rsidRPr="005B6EB9">
              <w:t>.</w:t>
            </w:r>
            <w:r>
              <w:t xml:space="preserve"> Inhalation can</w:t>
            </w:r>
            <w:r w:rsidRPr="005B6EB9">
              <w:t xml:space="preserve"> irritate and damage the </w:t>
            </w:r>
            <w:r>
              <w:t xml:space="preserve">respiratory tract including </w:t>
            </w:r>
            <w:r w:rsidRPr="005B6EB9">
              <w:t>nose, throat and lungs</w:t>
            </w:r>
            <w:r>
              <w:t xml:space="preserve">. </w:t>
            </w:r>
            <w:r w:rsidR="000D78C8">
              <w:t>Other common hazards include corrosivity, teratogenicity, and organic peroxide formation, along with damage to the liver, kidneys, and central nervous system.</w:t>
            </w:r>
          </w:p>
          <w:p w14:paraId="7E5A75C3" w14:textId="77777777" w:rsidR="000B2958" w:rsidRDefault="000B2958" w:rsidP="000B2958">
            <w:pPr>
              <w:autoSpaceDE w:val="0"/>
              <w:autoSpaceDN w:val="0"/>
              <w:adjustRightInd w:val="0"/>
            </w:pPr>
          </w:p>
          <w:p w14:paraId="65A69DEB" w14:textId="530FD5DC" w:rsidR="005B6EB9" w:rsidRPr="00572BC0" w:rsidRDefault="003B2835" w:rsidP="000B2958">
            <w:pPr>
              <w:autoSpaceDE w:val="0"/>
              <w:autoSpaceDN w:val="0"/>
              <w:adjustRightInd w:val="0"/>
              <w:rPr>
                <w:b/>
                <w:bCs/>
              </w:rPr>
            </w:pPr>
            <w:r>
              <w:rPr>
                <w:b/>
                <w:bCs/>
              </w:rPr>
              <w:lastRenderedPageBreak/>
              <w:t>Pyrophoric</w:t>
            </w:r>
            <w:r w:rsidR="00536739">
              <w:rPr>
                <w:b/>
                <w:bCs/>
              </w:rPr>
              <w:t xml:space="preserve"> chemicals</w:t>
            </w:r>
            <w:r w:rsidR="005B6EB9" w:rsidRPr="001E1A3D">
              <w:rPr>
                <w:b/>
                <w:bCs/>
              </w:rPr>
              <w:t xml:space="preserve"> may have </w:t>
            </w:r>
            <w:r w:rsidR="00280221">
              <w:rPr>
                <w:b/>
                <w:bCs/>
              </w:rPr>
              <w:t>additional</w:t>
            </w:r>
            <w:r w:rsidR="005B6EB9" w:rsidRPr="001E1A3D">
              <w:rPr>
                <w:b/>
                <w:bCs/>
              </w:rPr>
              <w:t xml:space="preserve"> </w:t>
            </w:r>
            <w:r w:rsidR="001D2DE0">
              <w:rPr>
                <w:b/>
                <w:bCs/>
              </w:rPr>
              <w:t>hazards</w:t>
            </w:r>
            <w:r w:rsidR="005B6EB9" w:rsidRPr="001E1A3D">
              <w:rPr>
                <w:b/>
                <w:bCs/>
              </w:rPr>
              <w:t xml:space="preserve"> associated wi</w:t>
            </w:r>
            <w:r w:rsidR="00C3776C">
              <w:rPr>
                <w:b/>
                <w:bCs/>
              </w:rPr>
              <w:t>th</w:t>
            </w:r>
            <w:r w:rsidR="005B6EB9" w:rsidRPr="001E1A3D">
              <w:rPr>
                <w:b/>
                <w:bCs/>
              </w:rPr>
              <w:t xml:space="preserve"> them, such as toxic</w:t>
            </w:r>
            <w:r w:rsidR="005C6B2A">
              <w:rPr>
                <w:b/>
                <w:bCs/>
              </w:rPr>
              <w:t xml:space="preserve"> and corrosive</w:t>
            </w:r>
            <w:r w:rsidR="005B6EB9" w:rsidRPr="001E1A3D">
              <w:rPr>
                <w:b/>
                <w:bCs/>
              </w:rPr>
              <w:t>.</w:t>
            </w:r>
            <w:r w:rsidR="005B6EB9">
              <w:rPr>
                <w:b/>
                <w:bCs/>
              </w:rPr>
              <w:t xml:space="preserve"> </w:t>
            </w:r>
            <w:r w:rsidR="005B6EB9" w:rsidRPr="005B6EB9">
              <w:rPr>
                <w:b/>
                <w:bCs/>
                <w:color w:val="FF0000"/>
              </w:rPr>
              <w:t xml:space="preserve">Add or delete </w:t>
            </w:r>
            <w:hyperlink r:id="rId8" w:history="1">
              <w:r w:rsidR="00E24F9D" w:rsidRPr="00E24F9D">
                <w:rPr>
                  <w:rStyle w:val="Hyperlink"/>
                  <w:b/>
                  <w:bCs/>
                </w:rPr>
                <w:t xml:space="preserve">GHS </w:t>
              </w:r>
              <w:r w:rsidR="005B6EB9" w:rsidRPr="00E24F9D">
                <w:rPr>
                  <w:rStyle w:val="Hyperlink"/>
                  <w:b/>
                  <w:bCs/>
                </w:rPr>
                <w:t>hazard</w:t>
              </w:r>
              <w:r w:rsidR="00E24F9D" w:rsidRPr="00E24F9D">
                <w:rPr>
                  <w:rStyle w:val="Hyperlink"/>
                  <w:b/>
                  <w:bCs/>
                </w:rPr>
                <w:t xml:space="preserve"> pictograms</w:t>
              </w:r>
            </w:hyperlink>
            <w:r w:rsidR="005B6EB9" w:rsidRPr="005B6EB9">
              <w:rPr>
                <w:b/>
                <w:bCs/>
                <w:color w:val="FF0000"/>
              </w:rPr>
              <w:t xml:space="preserve"> accordingly.</w:t>
            </w:r>
          </w:p>
          <w:p w14:paraId="5FD92CFB" w14:textId="77777777" w:rsidR="001E1A3D" w:rsidRDefault="001E1A3D" w:rsidP="00896DAC">
            <w:pPr>
              <w:autoSpaceDE w:val="0"/>
              <w:autoSpaceDN w:val="0"/>
              <w:adjustRightInd w:val="0"/>
              <w:rPr>
                <w:b/>
                <w:bCs/>
              </w:rPr>
            </w:pPr>
          </w:p>
          <w:p w14:paraId="554ED48E" w14:textId="01DE1490" w:rsidR="00436D33" w:rsidRPr="00436D33" w:rsidRDefault="002577C7" w:rsidP="00896DAC">
            <w:pPr>
              <w:autoSpaceDE w:val="0"/>
              <w:autoSpaceDN w:val="0"/>
              <w:adjustRightInd w:val="0"/>
              <w:rPr>
                <w:bCs/>
              </w:rPr>
            </w:pPr>
            <w:r>
              <w:rPr>
                <w:noProof/>
              </w:rPr>
              <w:drawing>
                <wp:inline distT="0" distB="0" distL="0" distR="0" wp14:anchorId="2B395BED" wp14:editId="22AEB9EE">
                  <wp:extent cx="593677" cy="5936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476" t="-4476" r="-4476" b="-4476"/>
                          <a:stretch/>
                        </pic:blipFill>
                        <pic:spPr bwMode="auto">
                          <a:xfrm>
                            <a:off x="0" y="0"/>
                            <a:ext cx="597749" cy="597749"/>
                          </a:xfrm>
                          <a:prstGeom prst="rect">
                            <a:avLst/>
                          </a:prstGeom>
                          <a:noFill/>
                          <a:ln>
                            <a:noFill/>
                          </a:ln>
                        </pic:spPr>
                      </pic:pic>
                    </a:graphicData>
                  </a:graphic>
                </wp:inline>
              </w:drawing>
            </w:r>
            <w:r>
              <w:rPr>
                <w:noProof/>
              </w:rPr>
              <w:drawing>
                <wp:inline distT="0" distB="0" distL="0" distR="0" wp14:anchorId="68762391" wp14:editId="6C79DA28">
                  <wp:extent cx="586854" cy="586854"/>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84" t="-3584" r="-3584" b="-3584"/>
                          <a:stretch/>
                        </pic:blipFill>
                        <pic:spPr bwMode="auto">
                          <a:xfrm>
                            <a:off x="0" y="0"/>
                            <a:ext cx="587965" cy="587965"/>
                          </a:xfrm>
                          <a:prstGeom prst="rect">
                            <a:avLst/>
                          </a:prstGeom>
                          <a:noFill/>
                          <a:ln>
                            <a:noFill/>
                          </a:ln>
                        </pic:spPr>
                      </pic:pic>
                    </a:graphicData>
                  </a:graphic>
                </wp:inline>
              </w:drawing>
            </w:r>
            <w:r w:rsidR="0049004C">
              <w:rPr>
                <w:rFonts w:cs="Arial"/>
                <w:noProof/>
              </w:rPr>
              <w:drawing>
                <wp:inline distT="0" distB="0" distL="0" distR="0" wp14:anchorId="02C9671A" wp14:editId="07567105">
                  <wp:extent cx="593677" cy="5936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258" t="-4258" r="-4258" b="-4258"/>
                          <a:stretch/>
                        </pic:blipFill>
                        <pic:spPr bwMode="auto">
                          <a:xfrm>
                            <a:off x="0" y="0"/>
                            <a:ext cx="595365" cy="595365"/>
                          </a:xfrm>
                          <a:prstGeom prst="rect">
                            <a:avLst/>
                          </a:prstGeom>
                          <a:noFill/>
                          <a:ln>
                            <a:noFill/>
                          </a:ln>
                        </pic:spPr>
                      </pic:pic>
                    </a:graphicData>
                  </a:graphic>
                </wp:inline>
              </w:drawing>
            </w:r>
            <w:r w:rsidR="005B6EB9">
              <w:rPr>
                <w:b/>
                <w:bCs/>
                <w:noProof/>
              </w:rPr>
              <w:drawing>
                <wp:inline distT="0" distB="0" distL="0" distR="0" wp14:anchorId="39C08D92" wp14:editId="51EB2852">
                  <wp:extent cx="600501" cy="600501"/>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765" t="-4765" r="-4765" b="-4765"/>
                          <a:stretch/>
                        </pic:blipFill>
                        <pic:spPr bwMode="auto">
                          <a:xfrm>
                            <a:off x="0" y="0"/>
                            <a:ext cx="600927" cy="600927"/>
                          </a:xfrm>
                          <a:prstGeom prst="rect">
                            <a:avLst/>
                          </a:prstGeom>
                          <a:noFill/>
                          <a:ln>
                            <a:noFill/>
                          </a:ln>
                        </pic:spPr>
                      </pic:pic>
                    </a:graphicData>
                  </a:graphic>
                </wp:inline>
              </w:drawing>
            </w:r>
            <w:r w:rsidR="00E90955">
              <w:rPr>
                <w:rFonts w:cs="Arial"/>
                <w:noProof/>
              </w:rPr>
              <w:drawing>
                <wp:inline distT="0" distB="0" distL="0" distR="0" wp14:anchorId="1C3AE52D" wp14:editId="1CA020C0">
                  <wp:extent cx="638175" cy="638175"/>
                  <wp:effectExtent l="0" t="0" r="0" b="9525"/>
                  <wp:docPr id="7" name="Picture 7" descr="Pictogram_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ogram_Corrosio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160" t="-8160" r="-8160" b="-8160"/>
                          <a:stretch/>
                        </pic:blipFill>
                        <pic:spPr bwMode="auto">
                          <a:xfrm>
                            <a:off x="0" y="0"/>
                            <a:ext cx="638175" cy="638175"/>
                          </a:xfrm>
                          <a:prstGeom prst="rect">
                            <a:avLst/>
                          </a:prstGeom>
                          <a:noFill/>
                          <a:ln>
                            <a:noFill/>
                          </a:ln>
                        </pic:spPr>
                      </pic:pic>
                    </a:graphicData>
                  </a:graphic>
                </wp:inline>
              </w:drawing>
            </w:r>
            <w:r w:rsidR="008E60FA">
              <w:rPr>
                <w:noProof/>
              </w:rPr>
              <w:drawing>
                <wp:inline distT="0" distB="0" distL="0" distR="0" wp14:anchorId="72E6A43E" wp14:editId="05E3B2AF">
                  <wp:extent cx="745860" cy="5979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9943" t="-17275" r="-9943" b="-17275"/>
                          <a:stretch/>
                        </pic:blipFill>
                        <pic:spPr>
                          <a:xfrm>
                            <a:off x="0" y="0"/>
                            <a:ext cx="767366" cy="615161"/>
                          </a:xfrm>
                          <a:prstGeom prst="rect">
                            <a:avLst/>
                          </a:prstGeom>
                        </pic:spPr>
                      </pic:pic>
                    </a:graphicData>
                  </a:graphic>
                </wp:inline>
              </w:drawing>
            </w:r>
            <w:r w:rsidR="00830850">
              <w:rPr>
                <w:noProof/>
              </w:rPr>
              <w:drawing>
                <wp:inline distT="0" distB="0" distL="0" distR="0" wp14:anchorId="3FC777DC" wp14:editId="07801F6C">
                  <wp:extent cx="638175" cy="638175"/>
                  <wp:effectExtent l="0" t="0" r="0" b="9525"/>
                  <wp:docPr id="2" name="Picture 2" descr="Pictogram_Gas 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ictogram_Gas Cylinder"/>
                          <pic:cNvPicPr>
                            <a:picLocks noChangeAspect="1"/>
                          </pic:cNvPicPr>
                        </pic:nvPicPr>
                        <pic:blipFill rotWithShape="1">
                          <a:blip r:embed="rId15" cstate="print">
                            <a:extLst>
                              <a:ext uri="{28A0092B-C50C-407E-A947-70E740481C1C}">
                                <a14:useLocalDpi xmlns:a14="http://schemas.microsoft.com/office/drawing/2010/main" val="0"/>
                              </a:ext>
                            </a:extLst>
                          </a:blip>
                          <a:srcRect l="-8160" t="-8160" r="-8160" b="-8160"/>
                          <a:stretch/>
                        </pic:blipFill>
                        <pic:spPr bwMode="auto">
                          <a:xfrm>
                            <a:off x="0" y="0"/>
                            <a:ext cx="638175" cy="638175"/>
                          </a:xfrm>
                          <a:prstGeom prst="rect">
                            <a:avLst/>
                          </a:prstGeom>
                          <a:noFill/>
                          <a:ln>
                            <a:noFill/>
                          </a:ln>
                        </pic:spPr>
                      </pic:pic>
                    </a:graphicData>
                  </a:graphic>
                </wp:inline>
              </w:drawing>
            </w:r>
          </w:p>
          <w:p w14:paraId="2E0C67DC" w14:textId="7360ACFA" w:rsidR="003E3CD1" w:rsidRPr="00E37318" w:rsidRDefault="00896DAC" w:rsidP="00572BC0">
            <w:r>
              <w:t xml:space="preserve">  </w:t>
            </w:r>
          </w:p>
          <w:p w14:paraId="2353F704" w14:textId="4671FDA7" w:rsidR="00375369" w:rsidRDefault="006914B9" w:rsidP="00A06151">
            <w:pPr>
              <w:rPr>
                <w:rFonts w:cs="Arial"/>
              </w:rPr>
            </w:pPr>
            <w:r>
              <w:rPr>
                <w:rFonts w:cs="Arial"/>
              </w:rPr>
              <w:t>*</w:t>
            </w:r>
            <w:r w:rsidRPr="00E0181C">
              <w:rPr>
                <w:rFonts w:cs="Arial"/>
                <w:b/>
              </w:rPr>
              <w:t>Always refer to the Safety Data Sheet for the most detailed information</w:t>
            </w:r>
            <w:r>
              <w:rPr>
                <w:rFonts w:cs="Arial"/>
              </w:rPr>
              <w:t>*</w:t>
            </w:r>
          </w:p>
          <w:p w14:paraId="01800060" w14:textId="269B1F92" w:rsidR="00BD4E97" w:rsidRDefault="00BD4E97" w:rsidP="00A06151">
            <w:pPr>
              <w:rPr>
                <w:rFonts w:cs="Arial"/>
              </w:rPr>
            </w:pPr>
          </w:p>
          <w:p w14:paraId="6EB565E9" w14:textId="56BAF6AE" w:rsidR="00692376" w:rsidRDefault="00BD4E97" w:rsidP="00BD4E97">
            <w:pPr>
              <w:tabs>
                <w:tab w:val="left" w:pos="2952"/>
              </w:tabs>
            </w:pPr>
            <w:r>
              <w:t xml:space="preserve">Washington State regulations </w:t>
            </w:r>
            <w:r w:rsidR="003A7DB7">
              <w:t xml:space="preserve">classify </w:t>
            </w:r>
            <w:r>
              <w:t>soli</w:t>
            </w:r>
            <w:r w:rsidR="00AF49A0">
              <w:t xml:space="preserve">d, </w:t>
            </w:r>
            <w:r>
              <w:t>liquid</w:t>
            </w:r>
            <w:r w:rsidR="00CB2155">
              <w:t xml:space="preserve"> or gaseous</w:t>
            </w:r>
            <w:r>
              <w:t xml:space="preserve"> chemicals which, by interaction with </w:t>
            </w:r>
            <w:r w:rsidR="00CB2155">
              <w:t>air</w:t>
            </w:r>
            <w:r>
              <w:t>, are liable to become spontaneously flammable or to give off flammable gases in dangerous quantities</w:t>
            </w:r>
            <w:r w:rsidR="00AC43AC">
              <w:t xml:space="preserve"> as pyrophoric</w:t>
            </w:r>
            <w:r>
              <w:t xml:space="preserve">. Chemicals with this hazard will have the GHS pictogram for flammability on their label and safety data sheet and will </w:t>
            </w:r>
            <w:r w:rsidR="00AF49A0">
              <w:t xml:space="preserve">generally </w:t>
            </w:r>
            <w:r>
              <w:t>include</w:t>
            </w:r>
            <w:r w:rsidR="00AF49A0">
              <w:t xml:space="preserve"> </w:t>
            </w:r>
            <w:r>
              <w:t>th</w:t>
            </w:r>
            <w:r w:rsidR="00AF49A0">
              <w:t xml:space="preserve">e following </w:t>
            </w:r>
            <w:r>
              <w:t xml:space="preserve">hazard </w:t>
            </w:r>
            <w:r w:rsidR="00AF49A0">
              <w:t xml:space="preserve">information. </w:t>
            </w:r>
          </w:p>
          <w:p w14:paraId="6F55BA49" w14:textId="77777777" w:rsidR="00BE5D71" w:rsidRDefault="00BE5D71" w:rsidP="002C2B30"/>
          <w:tbl>
            <w:tblPr>
              <w:tblStyle w:val="TableGridLight"/>
              <w:tblW w:w="0" w:type="auto"/>
              <w:tblLayout w:type="fixed"/>
              <w:tblLook w:val="04A0" w:firstRow="1" w:lastRow="0" w:firstColumn="1" w:lastColumn="0" w:noHBand="0" w:noVBand="1"/>
            </w:tblPr>
            <w:tblGrid>
              <w:gridCol w:w="3576"/>
              <w:gridCol w:w="1890"/>
              <w:gridCol w:w="1621"/>
            </w:tblGrid>
            <w:tr w:rsidR="00BD4E97" w14:paraId="21B4A6C6" w14:textId="77777777" w:rsidTr="005860EA">
              <w:tc>
                <w:tcPr>
                  <w:tcW w:w="3576" w:type="dxa"/>
                </w:tcPr>
                <w:p w14:paraId="634FA405" w14:textId="77777777" w:rsidR="00BD4E97" w:rsidRPr="00BC3531" w:rsidRDefault="00BD4E97" w:rsidP="00BD4E97">
                  <w:pPr>
                    <w:rPr>
                      <w:rFonts w:cs="Arial"/>
                      <w:b/>
                    </w:rPr>
                  </w:pPr>
                  <w:r w:rsidRPr="00BC3531">
                    <w:rPr>
                      <w:rFonts w:cs="Arial"/>
                      <w:b/>
                    </w:rPr>
                    <w:t>Hazard Statement</w:t>
                  </w:r>
                </w:p>
              </w:tc>
              <w:tc>
                <w:tcPr>
                  <w:tcW w:w="1890" w:type="dxa"/>
                </w:tcPr>
                <w:p w14:paraId="01543693" w14:textId="77777777" w:rsidR="00BD4E97" w:rsidRPr="00BC3531" w:rsidRDefault="00BD4E97" w:rsidP="00BD4E97">
                  <w:pPr>
                    <w:rPr>
                      <w:rFonts w:cs="Arial"/>
                      <w:b/>
                    </w:rPr>
                  </w:pPr>
                  <w:r w:rsidRPr="00BC3531">
                    <w:rPr>
                      <w:rFonts w:cs="Arial"/>
                      <w:b/>
                    </w:rPr>
                    <w:t>Hazard Category</w:t>
                  </w:r>
                </w:p>
              </w:tc>
              <w:tc>
                <w:tcPr>
                  <w:tcW w:w="1621" w:type="dxa"/>
                </w:tcPr>
                <w:p w14:paraId="16BE6851" w14:textId="77777777" w:rsidR="00BD4E97" w:rsidRPr="00BC3531" w:rsidRDefault="00BD4E97" w:rsidP="00BD4E97">
                  <w:pPr>
                    <w:rPr>
                      <w:rFonts w:cs="Arial"/>
                      <w:b/>
                    </w:rPr>
                  </w:pPr>
                  <w:r w:rsidRPr="00BC3531">
                    <w:rPr>
                      <w:rFonts w:cs="Arial"/>
                      <w:b/>
                    </w:rPr>
                    <w:t>Signal Word</w:t>
                  </w:r>
                </w:p>
              </w:tc>
            </w:tr>
            <w:tr w:rsidR="006F527A" w14:paraId="3D490441" w14:textId="77777777" w:rsidTr="005860EA">
              <w:tc>
                <w:tcPr>
                  <w:tcW w:w="3576" w:type="dxa"/>
                </w:tcPr>
                <w:p w14:paraId="2EE28955" w14:textId="06FACE23" w:rsidR="00AF49A0" w:rsidRDefault="00AF49A0" w:rsidP="00BD4E97">
                  <w:pPr>
                    <w:rPr>
                      <w:rFonts w:cs="Arial"/>
                      <w:bCs/>
                    </w:rPr>
                  </w:pPr>
                  <w:r>
                    <w:rPr>
                      <w:rFonts w:cs="Arial"/>
                      <w:bCs/>
                    </w:rPr>
                    <w:t>Catches fire spontaneously if exposed to air</w:t>
                  </w:r>
                  <w:r w:rsidR="00A20799">
                    <w:rPr>
                      <w:rFonts w:cs="Arial"/>
                      <w:bCs/>
                    </w:rPr>
                    <w:t xml:space="preserve"> </w:t>
                  </w:r>
                </w:p>
              </w:tc>
              <w:tc>
                <w:tcPr>
                  <w:tcW w:w="1890" w:type="dxa"/>
                </w:tcPr>
                <w:p w14:paraId="43BB6143" w14:textId="0955BE9C" w:rsidR="006F527A" w:rsidRDefault="006F527A" w:rsidP="00BD4E97">
                  <w:pPr>
                    <w:rPr>
                      <w:rFonts w:cs="Arial"/>
                      <w:bCs/>
                    </w:rPr>
                  </w:pPr>
                  <w:r>
                    <w:rPr>
                      <w:rFonts w:cs="Arial"/>
                      <w:bCs/>
                    </w:rPr>
                    <w:t>Category 1</w:t>
                  </w:r>
                </w:p>
              </w:tc>
              <w:tc>
                <w:tcPr>
                  <w:tcW w:w="1621" w:type="dxa"/>
                </w:tcPr>
                <w:p w14:paraId="068F29F3" w14:textId="45AB2C0D" w:rsidR="006F527A" w:rsidRDefault="006F527A" w:rsidP="00BD4E97">
                  <w:pPr>
                    <w:rPr>
                      <w:rFonts w:cs="Arial"/>
                      <w:bCs/>
                    </w:rPr>
                  </w:pPr>
                  <w:r>
                    <w:rPr>
                      <w:rFonts w:cs="Arial"/>
                      <w:bCs/>
                    </w:rPr>
                    <w:t>Danger</w:t>
                  </w:r>
                </w:p>
              </w:tc>
            </w:tr>
            <w:tr w:rsidR="00A20799" w14:paraId="3B536745" w14:textId="77777777" w:rsidTr="0047468A">
              <w:trPr>
                <w:trHeight w:val="260"/>
              </w:trPr>
              <w:tc>
                <w:tcPr>
                  <w:tcW w:w="3576" w:type="dxa"/>
                </w:tcPr>
                <w:p w14:paraId="681763D1" w14:textId="21716E6C" w:rsidR="00A20799" w:rsidRDefault="00A20799" w:rsidP="00A20799">
                  <w:pPr>
                    <w:rPr>
                      <w:rFonts w:cs="Arial"/>
                      <w:bCs/>
                    </w:rPr>
                  </w:pPr>
                  <w:r>
                    <w:rPr>
                      <w:rFonts w:cs="Arial"/>
                      <w:bCs/>
                    </w:rPr>
                    <w:t xml:space="preserve">Extremely flammable gas </w:t>
                  </w:r>
                </w:p>
                <w:p w14:paraId="2A6EB384" w14:textId="133E432D" w:rsidR="00A20799" w:rsidRDefault="00A20799" w:rsidP="00A20799">
                  <w:pPr>
                    <w:rPr>
                      <w:rFonts w:cs="Arial"/>
                      <w:bCs/>
                    </w:rPr>
                  </w:pPr>
                </w:p>
              </w:tc>
              <w:tc>
                <w:tcPr>
                  <w:tcW w:w="1890" w:type="dxa"/>
                </w:tcPr>
                <w:p w14:paraId="73E985E9" w14:textId="033CF181" w:rsidR="00A20799" w:rsidRDefault="00A20799" w:rsidP="00A20799">
                  <w:pPr>
                    <w:rPr>
                      <w:rFonts w:cs="Arial"/>
                      <w:bCs/>
                    </w:rPr>
                  </w:pPr>
                  <w:r>
                    <w:rPr>
                      <w:rFonts w:cs="Arial"/>
                      <w:bCs/>
                    </w:rPr>
                    <w:t>Category 1</w:t>
                  </w:r>
                </w:p>
              </w:tc>
              <w:tc>
                <w:tcPr>
                  <w:tcW w:w="1621" w:type="dxa"/>
                </w:tcPr>
                <w:p w14:paraId="60C3319E" w14:textId="54098B26" w:rsidR="00A20799" w:rsidRDefault="00A20799" w:rsidP="00A20799">
                  <w:pPr>
                    <w:rPr>
                      <w:rFonts w:cs="Arial"/>
                      <w:bCs/>
                    </w:rPr>
                  </w:pPr>
                  <w:r>
                    <w:rPr>
                      <w:rFonts w:cs="Arial"/>
                      <w:bCs/>
                    </w:rPr>
                    <w:t>Danger</w:t>
                  </w:r>
                </w:p>
              </w:tc>
            </w:tr>
          </w:tbl>
          <w:p w14:paraId="2816DC77" w14:textId="77777777" w:rsidR="00BD4E97" w:rsidRPr="00D27151" w:rsidRDefault="00BD4E97" w:rsidP="00A06151">
            <w:pPr>
              <w:rPr>
                <w:rFonts w:cs="Arial"/>
              </w:rPr>
            </w:pPr>
          </w:p>
          <w:p w14:paraId="6FE0B750" w14:textId="0EF2090B" w:rsidR="00BD4E97" w:rsidRDefault="003A7DB7" w:rsidP="000E4E98">
            <w:pPr>
              <w:pStyle w:val="ListParagraph"/>
              <w:numPr>
                <w:ilvl w:val="0"/>
                <w:numId w:val="12"/>
              </w:numPr>
              <w:tabs>
                <w:tab w:val="left" w:pos="2952"/>
              </w:tabs>
              <w:ind w:left="252" w:hanging="270"/>
            </w:pPr>
            <w:r w:rsidRPr="000E4E98">
              <w:rPr>
                <w:b/>
                <w:bCs/>
              </w:rPr>
              <w:t>Pyrophoric</w:t>
            </w:r>
            <w:r w:rsidR="00BD4E97" w:rsidRPr="000E4E98">
              <w:rPr>
                <w:b/>
                <w:bCs/>
              </w:rPr>
              <w:t xml:space="preserve"> chemicals</w:t>
            </w:r>
            <w:r w:rsidR="00BD4E97">
              <w:t xml:space="preserve"> whose primary or only hazard is </w:t>
            </w:r>
            <w:r>
              <w:t>water reactive</w:t>
            </w:r>
            <w:r w:rsidR="00BD4E97">
              <w:t xml:space="preserve"> or flammable solid will be covered by separate SOPs for those chemical hazard groups. </w:t>
            </w:r>
          </w:p>
          <w:p w14:paraId="70915707" w14:textId="10C2E5C2" w:rsidR="00BD4E97" w:rsidRDefault="00BD4E97" w:rsidP="002577C7">
            <w:pPr>
              <w:autoSpaceDE w:val="0"/>
              <w:autoSpaceDN w:val="0"/>
              <w:adjustRightInd w:val="0"/>
              <w:rPr>
                <w:b/>
              </w:rPr>
            </w:pPr>
          </w:p>
        </w:tc>
      </w:tr>
      <w:tr w:rsidR="003E3CD1" w14:paraId="0A9498B8" w14:textId="77777777" w:rsidTr="00405284">
        <w:tc>
          <w:tcPr>
            <w:tcW w:w="2497" w:type="dxa"/>
          </w:tcPr>
          <w:p w14:paraId="1A0B82AD" w14:textId="5EA3AE4C" w:rsidR="003E3CD1" w:rsidRPr="00803CEB" w:rsidRDefault="003E3CD1">
            <w:pPr>
              <w:rPr>
                <w:b/>
                <w:bCs/>
              </w:rPr>
            </w:pPr>
            <w:r w:rsidRPr="00803CEB">
              <w:rPr>
                <w:b/>
                <w:bCs/>
              </w:rPr>
              <w:lastRenderedPageBreak/>
              <w:t xml:space="preserve">3.  </w:t>
            </w:r>
            <w:r w:rsidR="00F063D6">
              <w:rPr>
                <w:b/>
                <w:bCs/>
              </w:rPr>
              <w:t xml:space="preserve"> </w:t>
            </w:r>
            <w:r w:rsidRPr="00803CEB">
              <w:rPr>
                <w:b/>
                <w:bCs/>
              </w:rPr>
              <w:t xml:space="preserve">TRAINER / </w:t>
            </w:r>
          </w:p>
          <w:p w14:paraId="46A0E14B" w14:textId="48627BD7" w:rsidR="003E3CD1" w:rsidRPr="00803CEB" w:rsidRDefault="003E3CD1">
            <w:pPr>
              <w:rPr>
                <w:b/>
                <w:bCs/>
              </w:rPr>
            </w:pPr>
            <w:r w:rsidRPr="00803CEB">
              <w:rPr>
                <w:b/>
                <w:bCs/>
              </w:rPr>
              <w:t xml:space="preserve">     </w:t>
            </w:r>
            <w:r w:rsidR="00F063D6">
              <w:rPr>
                <w:b/>
                <w:bCs/>
              </w:rPr>
              <w:t xml:space="preserve"> </w:t>
            </w:r>
            <w:r w:rsidRPr="00803CEB">
              <w:rPr>
                <w:b/>
                <w:bCs/>
              </w:rPr>
              <w:t>RESOURCE</w:t>
            </w:r>
          </w:p>
          <w:p w14:paraId="24EFC7CD" w14:textId="1ABEF33B" w:rsidR="003E3CD1" w:rsidRPr="00803CEB" w:rsidRDefault="003E3CD1">
            <w:pPr>
              <w:rPr>
                <w:b/>
                <w:bCs/>
              </w:rPr>
            </w:pPr>
            <w:r w:rsidRPr="00803CEB">
              <w:rPr>
                <w:b/>
                <w:bCs/>
              </w:rPr>
              <w:t xml:space="preserve">     </w:t>
            </w:r>
            <w:r w:rsidR="00F063D6">
              <w:rPr>
                <w:b/>
                <w:bCs/>
              </w:rPr>
              <w:t xml:space="preserve"> </w:t>
            </w:r>
            <w:r w:rsidRPr="00803CEB">
              <w:rPr>
                <w:b/>
                <w:bCs/>
              </w:rPr>
              <w:t>PERSON</w:t>
            </w:r>
            <w:r w:rsidR="00280221">
              <w:rPr>
                <w:b/>
                <w:bCs/>
              </w:rPr>
              <w:t>NEL</w:t>
            </w:r>
            <w:r w:rsidRPr="00803CEB">
              <w:rPr>
                <w:b/>
                <w:bCs/>
              </w:rPr>
              <w:t xml:space="preserve"> </w:t>
            </w:r>
          </w:p>
        </w:tc>
        <w:tc>
          <w:tcPr>
            <w:tcW w:w="7313" w:type="dxa"/>
          </w:tcPr>
          <w:p w14:paraId="2DFE6619" w14:textId="0D77419D" w:rsidR="00280221" w:rsidRPr="00280221" w:rsidRDefault="00280221" w:rsidP="00A52324">
            <w:pPr>
              <w:rPr>
                <w:bCs/>
              </w:rPr>
            </w:pPr>
            <w:r w:rsidRPr="00280221">
              <w:rPr>
                <w:bCs/>
              </w:rPr>
              <w:t>Principal</w:t>
            </w:r>
            <w:r>
              <w:rPr>
                <w:bCs/>
              </w:rPr>
              <w:t xml:space="preserve"> Investigator must </w:t>
            </w:r>
            <w:r w:rsidR="00563D81">
              <w:rPr>
                <w:bCs/>
              </w:rPr>
              <w:t>guarantee all laboratory personnel receive training on the content of this SOP.</w:t>
            </w:r>
          </w:p>
          <w:p w14:paraId="6E4C637B" w14:textId="77777777" w:rsidR="00280221" w:rsidRDefault="00280221" w:rsidP="00A52324">
            <w:pPr>
              <w:rPr>
                <w:b/>
                <w:color w:val="FF0000"/>
              </w:rPr>
            </w:pPr>
          </w:p>
          <w:p w14:paraId="1DD0B6E0" w14:textId="139FA367" w:rsidR="00A52324" w:rsidRPr="00F44BE1" w:rsidRDefault="00A52324" w:rsidP="00A52324">
            <w:pPr>
              <w:rPr>
                <w:b/>
                <w:color w:val="FF0000"/>
              </w:rPr>
            </w:pPr>
            <w:r w:rsidRPr="00F44BE1">
              <w:rPr>
                <w:b/>
                <w:color w:val="FF0000"/>
              </w:rPr>
              <w:t>Principal Investigator Name, Building, Room, Phone Number</w:t>
            </w:r>
          </w:p>
          <w:p w14:paraId="02F9EC98" w14:textId="77777777" w:rsidR="006A0EFC" w:rsidRPr="00F44BE1" w:rsidRDefault="006A0EFC" w:rsidP="00A52324">
            <w:pPr>
              <w:rPr>
                <w:b/>
                <w:color w:val="FF0000"/>
              </w:rPr>
            </w:pPr>
          </w:p>
          <w:p w14:paraId="6B047A14" w14:textId="054D5671" w:rsidR="00A52324" w:rsidRPr="00F44BE1" w:rsidRDefault="00A52324" w:rsidP="00A52324">
            <w:pPr>
              <w:rPr>
                <w:color w:val="FF0000"/>
              </w:rPr>
            </w:pPr>
            <w:r w:rsidRPr="00F44BE1">
              <w:rPr>
                <w:b/>
                <w:color w:val="FF0000"/>
              </w:rPr>
              <w:t>Secondary contact Name, Building, Room, Phone Number</w:t>
            </w:r>
          </w:p>
          <w:p w14:paraId="252B5625" w14:textId="77777777" w:rsidR="003E3CD1" w:rsidRDefault="003E3CD1" w:rsidP="00E40AC3"/>
        </w:tc>
      </w:tr>
      <w:tr w:rsidR="003E3CD1" w14:paraId="2E4F6C14" w14:textId="77777777" w:rsidTr="00405284">
        <w:tc>
          <w:tcPr>
            <w:tcW w:w="2497" w:type="dxa"/>
          </w:tcPr>
          <w:p w14:paraId="01B38511" w14:textId="77777777" w:rsidR="003E3CD1" w:rsidRPr="00803CEB" w:rsidRDefault="003E3CD1">
            <w:pPr>
              <w:numPr>
                <w:ilvl w:val="0"/>
                <w:numId w:val="1"/>
              </w:numPr>
              <w:rPr>
                <w:b/>
                <w:bCs/>
              </w:rPr>
            </w:pPr>
            <w:r w:rsidRPr="00803CEB">
              <w:rPr>
                <w:b/>
                <w:bCs/>
              </w:rPr>
              <w:t xml:space="preserve">LOCATION OF  </w:t>
            </w:r>
          </w:p>
          <w:p w14:paraId="5F0495D2" w14:textId="77777777" w:rsidR="003E3CD1" w:rsidRPr="00803CEB" w:rsidRDefault="003E3CD1">
            <w:pPr>
              <w:rPr>
                <w:b/>
                <w:bCs/>
              </w:rPr>
            </w:pPr>
            <w:r w:rsidRPr="00803CEB">
              <w:rPr>
                <w:b/>
                <w:bCs/>
              </w:rPr>
              <w:t xml:space="preserve">      HEALTH &amp; SAFETY      </w:t>
            </w:r>
          </w:p>
          <w:p w14:paraId="4DF47F6B" w14:textId="77777777" w:rsidR="003E3CD1" w:rsidRPr="00803CEB" w:rsidRDefault="003E3CD1">
            <w:pPr>
              <w:rPr>
                <w:b/>
                <w:bCs/>
              </w:rPr>
            </w:pPr>
            <w:r w:rsidRPr="00803CEB">
              <w:rPr>
                <w:b/>
                <w:bCs/>
              </w:rPr>
              <w:t xml:space="preserve">      INFORMATION</w:t>
            </w:r>
          </w:p>
          <w:p w14:paraId="37C90C74" w14:textId="77777777" w:rsidR="003E3CD1" w:rsidRPr="00803CEB" w:rsidRDefault="003E3CD1">
            <w:pPr>
              <w:rPr>
                <w:b/>
                <w:bCs/>
              </w:rPr>
            </w:pPr>
          </w:p>
        </w:tc>
        <w:tc>
          <w:tcPr>
            <w:tcW w:w="7313" w:type="dxa"/>
          </w:tcPr>
          <w:p w14:paraId="36EF9D27" w14:textId="59B3CA6A" w:rsidR="001C3710" w:rsidRPr="00563D81" w:rsidRDefault="001C3710" w:rsidP="001C3710">
            <w:pPr>
              <w:rPr>
                <w:bCs/>
              </w:rPr>
            </w:pPr>
            <w:r>
              <w:t>Sa</w:t>
            </w:r>
            <w:r w:rsidR="00583A52">
              <w:t>fety Data Sheet</w:t>
            </w:r>
            <w:r w:rsidR="00967281">
              <w:t>s</w:t>
            </w:r>
            <w:r w:rsidR="00583A52">
              <w:t xml:space="preserve"> (SDS) for </w:t>
            </w:r>
            <w:r w:rsidR="00FA324E">
              <w:t>pyrophoric</w:t>
            </w:r>
            <w:r w:rsidR="00536739">
              <w:t xml:space="preserve"> chemicals</w:t>
            </w:r>
            <w:r w:rsidR="00B46839">
              <w:t xml:space="preserve"> must be available at all times to all personnel working in the laboratory. The SDS</w:t>
            </w:r>
            <w:r w:rsidR="00563D81">
              <w:t xml:space="preserve"> used in this laboratory</w:t>
            </w:r>
            <w:r w:rsidR="00967281">
              <w:t xml:space="preserve"> are</w:t>
            </w:r>
            <w:r>
              <w:t xml:space="preserve"> located</w:t>
            </w:r>
            <w:r w:rsidR="00280221">
              <w:t xml:space="preserve"> </w:t>
            </w:r>
            <w:r>
              <w:t xml:space="preserve">in </w:t>
            </w:r>
            <w:r w:rsidRPr="00280221">
              <w:rPr>
                <w:b/>
                <w:color w:val="FF0000"/>
              </w:rPr>
              <w:t>Building, Room</w:t>
            </w:r>
            <w:r w:rsidR="00FF4AC3">
              <w:rPr>
                <w:b/>
                <w:color w:val="FF0000"/>
              </w:rPr>
              <w:t xml:space="preserve"> </w:t>
            </w:r>
            <w:r w:rsidR="00C01272">
              <w:rPr>
                <w:b/>
                <w:color w:val="FF0000"/>
              </w:rPr>
              <w:t>and/</w:t>
            </w:r>
            <w:r w:rsidR="00FF4AC3">
              <w:rPr>
                <w:b/>
                <w:color w:val="FF0000"/>
              </w:rPr>
              <w:t>or Electronic Location</w:t>
            </w:r>
            <w:r w:rsidR="00563D81">
              <w:rPr>
                <w:b/>
                <w:color w:val="FF0000"/>
              </w:rPr>
              <w:t>.</w:t>
            </w:r>
            <w:r w:rsidR="00563D81">
              <w:rPr>
                <w:bCs/>
              </w:rPr>
              <w:t xml:space="preserve"> </w:t>
            </w:r>
          </w:p>
          <w:p w14:paraId="216CA0EF" w14:textId="77777777" w:rsidR="00A52324" w:rsidRDefault="00A52324" w:rsidP="00A52324">
            <w:pPr>
              <w:rPr>
                <w:b/>
              </w:rPr>
            </w:pPr>
          </w:p>
          <w:p w14:paraId="5F66BA67" w14:textId="6E05DDBA" w:rsidR="003E3CD1" w:rsidRDefault="00A52324" w:rsidP="00E56778">
            <w:r w:rsidRPr="001D65E2">
              <w:rPr>
                <w:u w:val="single"/>
              </w:rPr>
              <w:t>Labeling</w:t>
            </w:r>
            <w:r>
              <w:t xml:space="preserve">: </w:t>
            </w:r>
            <w:r w:rsidR="00FA324E">
              <w:t>Pyrophoric</w:t>
            </w:r>
            <w:r w:rsidR="00536739">
              <w:t xml:space="preserve"> chemicals</w:t>
            </w:r>
            <w:r w:rsidR="00967281">
              <w:t xml:space="preserve"> c</w:t>
            </w:r>
            <w:r>
              <w:t xml:space="preserve">ontainers shall either have original </w:t>
            </w:r>
            <w:r w:rsidR="006154CC">
              <w:t>manufacturer’s</w:t>
            </w:r>
            <w:r>
              <w:t xml:space="preserve"> label affixed or a </w:t>
            </w:r>
            <w:r w:rsidR="000053C6">
              <w:t>self-made workplace</w:t>
            </w:r>
            <w:r w:rsidR="00F41A44">
              <w:t xml:space="preserve"> </w:t>
            </w:r>
            <w:r>
              <w:t>label identifying the contents and hazards</w:t>
            </w:r>
            <w:r w:rsidR="00F41A44">
              <w:t xml:space="preserve"> of the chemical at the minimum</w:t>
            </w:r>
            <w:r>
              <w:t>.</w:t>
            </w:r>
            <w:r w:rsidR="006154CC">
              <w:t xml:space="preserve"> Chemical abbreviations and formulae should be avoided unless a legend is present in the lab.</w:t>
            </w:r>
            <w:r w:rsidR="000053C6">
              <w:t xml:space="preserve"> </w:t>
            </w:r>
            <w:r w:rsidR="00B35B39">
              <w:t xml:space="preserve">Write the date received and the date opened on the container. </w:t>
            </w:r>
            <w:r w:rsidR="000053C6">
              <w:t xml:space="preserve">For information on workplace labels, see </w:t>
            </w:r>
            <w:hyperlink r:id="rId16" w:history="1">
              <w:r w:rsidR="000053C6" w:rsidRPr="00A32F1F">
                <w:rPr>
                  <w:rStyle w:val="Hyperlink"/>
                </w:rPr>
                <w:t>https://ehs.wsu.edu/ohs-chemhazardcommunication/ohs-workplacelabels/</w:t>
              </w:r>
            </w:hyperlink>
            <w:r w:rsidR="000053C6">
              <w:t xml:space="preserve">. </w:t>
            </w:r>
          </w:p>
          <w:p w14:paraId="0309E97F" w14:textId="77777777" w:rsidR="006A6643" w:rsidRDefault="006A6643" w:rsidP="00E56778"/>
        </w:tc>
      </w:tr>
      <w:tr w:rsidR="003E3CD1" w14:paraId="4923DD49" w14:textId="77777777" w:rsidTr="00405284">
        <w:tc>
          <w:tcPr>
            <w:tcW w:w="2497" w:type="dxa"/>
          </w:tcPr>
          <w:p w14:paraId="37F204EC" w14:textId="0CECEB84" w:rsidR="003E3CD1" w:rsidRPr="00366C3C" w:rsidRDefault="003E3CD1" w:rsidP="0010262E">
            <w:pPr>
              <w:pStyle w:val="ListParagraph"/>
              <w:numPr>
                <w:ilvl w:val="0"/>
                <w:numId w:val="1"/>
              </w:numPr>
              <w:rPr>
                <w:b/>
                <w:bCs/>
              </w:rPr>
            </w:pPr>
            <w:r w:rsidRPr="00366C3C">
              <w:rPr>
                <w:b/>
                <w:bCs/>
              </w:rPr>
              <w:t xml:space="preserve">PROTECTIVE      </w:t>
            </w:r>
          </w:p>
          <w:p w14:paraId="5AB3B16B" w14:textId="290D747D" w:rsidR="003E3CD1" w:rsidRPr="00803CEB" w:rsidRDefault="003E3CD1">
            <w:pPr>
              <w:rPr>
                <w:b/>
                <w:bCs/>
              </w:rPr>
            </w:pPr>
            <w:r w:rsidRPr="00803CEB">
              <w:rPr>
                <w:b/>
                <w:bCs/>
              </w:rPr>
              <w:t xml:space="preserve">     </w:t>
            </w:r>
            <w:r w:rsidR="009F4767">
              <w:rPr>
                <w:b/>
                <w:bCs/>
              </w:rPr>
              <w:t xml:space="preserve"> </w:t>
            </w:r>
            <w:r w:rsidRPr="00803CEB">
              <w:rPr>
                <w:b/>
                <w:bCs/>
              </w:rPr>
              <w:t>EQUIPMENT</w:t>
            </w:r>
          </w:p>
        </w:tc>
        <w:tc>
          <w:tcPr>
            <w:tcW w:w="7313" w:type="dxa"/>
          </w:tcPr>
          <w:p w14:paraId="127E987A" w14:textId="112B8696" w:rsidR="00E65D8E" w:rsidRDefault="00151226" w:rsidP="00151226">
            <w:r>
              <w:t xml:space="preserve">Wear </w:t>
            </w:r>
            <w:r w:rsidR="00F41A44">
              <w:t xml:space="preserve">nitrile </w:t>
            </w:r>
            <w:r>
              <w:t xml:space="preserve">rubber gloves, </w:t>
            </w:r>
            <w:r w:rsidR="00E65D8E">
              <w:t xml:space="preserve">ANSI approved </w:t>
            </w:r>
            <w:r>
              <w:t xml:space="preserve">chemical splash goggles, </w:t>
            </w:r>
            <w:r w:rsidR="00F635AB">
              <w:t xml:space="preserve">and a </w:t>
            </w:r>
            <w:r w:rsidR="00D3385C">
              <w:t>fully buttoned</w:t>
            </w:r>
            <w:r w:rsidR="00D815A4">
              <w:t xml:space="preserve"> </w:t>
            </w:r>
            <w:r w:rsidR="005C083E">
              <w:t>flame-resistant</w:t>
            </w:r>
            <w:r w:rsidR="00D3385C">
              <w:t xml:space="preserve"> lab coat</w:t>
            </w:r>
            <w:r w:rsidR="001D4B3B">
              <w:t xml:space="preserve"> (e.g. Nomex)</w:t>
            </w:r>
            <w:r w:rsidR="00F41A44">
              <w:t xml:space="preserve"> at the minimum</w:t>
            </w:r>
            <w:r>
              <w:t>.</w:t>
            </w:r>
            <w:r w:rsidR="0029552A">
              <w:t xml:space="preserve"> If working with </w:t>
            </w:r>
            <w:proofErr w:type="spellStart"/>
            <w:r w:rsidR="0029552A">
              <w:t>pyrophorics</w:t>
            </w:r>
            <w:proofErr w:type="spellEnd"/>
            <w:r w:rsidR="0029552A">
              <w:t xml:space="preserve"> in</w:t>
            </w:r>
            <w:r w:rsidR="00E2123D">
              <w:t>side</w:t>
            </w:r>
            <w:r w:rsidR="0029552A">
              <w:t xml:space="preserve"> a glove box, a normal lab coat may be worn.</w:t>
            </w:r>
            <w:r w:rsidR="00526F6C">
              <w:t xml:space="preserve"> </w:t>
            </w:r>
            <w:r w:rsidR="00384764" w:rsidRPr="00452DFE">
              <w:t>Double gloving may be appropriate</w:t>
            </w:r>
            <w:r w:rsidR="00274011" w:rsidRPr="00452DFE">
              <w:t xml:space="preserve"> in many situations</w:t>
            </w:r>
            <w:r w:rsidR="00384764" w:rsidRPr="00452DFE">
              <w:t xml:space="preserve"> and is recommended when working with </w:t>
            </w:r>
            <w:r w:rsidR="00FA324E">
              <w:t>pyrophoric</w:t>
            </w:r>
            <w:r w:rsidR="00452DFE" w:rsidRPr="00452DFE">
              <w:t xml:space="preserve"> chemicals</w:t>
            </w:r>
            <w:r w:rsidR="00384764" w:rsidRPr="00452DFE">
              <w:t xml:space="preserve"> with a toxicity hazard</w:t>
            </w:r>
            <w:r w:rsidR="00603A0B" w:rsidRPr="00452DFE">
              <w:t xml:space="preserve"> through skin absorption</w:t>
            </w:r>
            <w:r w:rsidR="00384764" w:rsidRPr="00452DFE">
              <w:t>.</w:t>
            </w:r>
            <w:r w:rsidR="00384764">
              <w:t xml:space="preserve"> </w:t>
            </w:r>
            <w:r w:rsidR="00526F6C">
              <w:t xml:space="preserve">ANSI approved safety glasses may be appropriate for lower hazard </w:t>
            </w:r>
            <w:r w:rsidR="00FA324E">
              <w:t>pyrophoric</w:t>
            </w:r>
            <w:r w:rsidR="00414665">
              <w:t xml:space="preserve"> chemicals </w:t>
            </w:r>
            <w:r w:rsidR="00526F6C">
              <w:t xml:space="preserve">or when </w:t>
            </w:r>
            <w:r w:rsidR="001819D7">
              <w:t xml:space="preserve">properly </w:t>
            </w:r>
            <w:r w:rsidR="00526F6C">
              <w:t>working</w:t>
            </w:r>
            <w:r w:rsidR="00414665">
              <w:t xml:space="preserve"> in</w:t>
            </w:r>
            <w:r w:rsidR="00D815A4">
              <w:t xml:space="preserve"> a glove box</w:t>
            </w:r>
            <w:r w:rsidR="00414665">
              <w:t>, behi</w:t>
            </w:r>
            <w:r w:rsidR="00526F6C">
              <w:t xml:space="preserve">nd a fume hood’s protective </w:t>
            </w:r>
            <w:r w:rsidR="00B4040A">
              <w:t>sash</w:t>
            </w:r>
            <w:r w:rsidR="00414665">
              <w:t xml:space="preserve"> or protective blast shield</w:t>
            </w:r>
            <w:r w:rsidR="00B4040A">
              <w:t xml:space="preserve">. </w:t>
            </w:r>
          </w:p>
          <w:p w14:paraId="743A5489" w14:textId="77777777" w:rsidR="00E65D8E" w:rsidRDefault="00E65D8E" w:rsidP="00151226"/>
          <w:p w14:paraId="6B6B8188" w14:textId="3EACCAEF" w:rsidR="00E65D8E" w:rsidRDefault="003B4598" w:rsidP="00151226">
            <w:r>
              <w:t xml:space="preserve">When working </w:t>
            </w:r>
            <w:r w:rsidR="00F6327A">
              <w:t>in</w:t>
            </w:r>
            <w:r>
              <w:t xml:space="preserve"> </w:t>
            </w:r>
            <w:r w:rsidR="002C246E">
              <w:t>high</w:t>
            </w:r>
            <w:r w:rsidR="00F6327A">
              <w:t>er</w:t>
            </w:r>
            <w:r w:rsidR="002C246E">
              <w:t xml:space="preserve"> </w:t>
            </w:r>
            <w:r w:rsidR="002F629E">
              <w:t>hazard</w:t>
            </w:r>
            <w:r>
              <w:t xml:space="preserve"> </w:t>
            </w:r>
            <w:r w:rsidR="00F6327A">
              <w:t xml:space="preserve">situations with </w:t>
            </w:r>
            <w:r w:rsidR="00FA324E">
              <w:t>pyrophoric</w:t>
            </w:r>
            <w:r w:rsidR="00536739">
              <w:t xml:space="preserve"> chemicals</w:t>
            </w:r>
            <w:r w:rsidR="00E2123D">
              <w:t xml:space="preserve"> (e.g. syringe/cannula transfers of pyrophoric liquids)</w:t>
            </w:r>
            <w:r w:rsidR="003578B5">
              <w:t xml:space="preserve">, consider using </w:t>
            </w:r>
            <w:r>
              <w:t>additional PPE, such as</w:t>
            </w:r>
            <w:r w:rsidR="00202299">
              <w:t xml:space="preserve"> a</w:t>
            </w:r>
            <w:r w:rsidR="00795E56">
              <w:t xml:space="preserve"> </w:t>
            </w:r>
            <w:r w:rsidR="000D1572">
              <w:t xml:space="preserve">cloth apron, </w:t>
            </w:r>
            <w:r w:rsidR="00795E56">
              <w:t>face shield</w:t>
            </w:r>
            <w:r w:rsidR="00D815A4">
              <w:t xml:space="preserve"> and</w:t>
            </w:r>
            <w:r w:rsidR="000D1572">
              <w:t xml:space="preserve"> f</w:t>
            </w:r>
            <w:r w:rsidR="00F6327A">
              <w:t>ire-resistant gloves (e.g. Nomex</w:t>
            </w:r>
            <w:r w:rsidR="00E2123D">
              <w:t>/Leather pilot gloves</w:t>
            </w:r>
            <w:r w:rsidR="00F6327A">
              <w:t xml:space="preserve">) may be appropriate to </w:t>
            </w:r>
            <w:r w:rsidR="00E2123D">
              <w:t xml:space="preserve">wear over </w:t>
            </w:r>
            <w:r w:rsidR="00F6327A">
              <w:t>chemical-resistant gloves</w:t>
            </w:r>
            <w:r w:rsidR="00E2123D">
              <w:t xml:space="preserve"> such as nitrile</w:t>
            </w:r>
            <w:r w:rsidR="00F6327A">
              <w:t xml:space="preserve">. </w:t>
            </w:r>
            <w:r w:rsidR="00A474B2">
              <w:t>Wash hands</w:t>
            </w:r>
            <w:r w:rsidR="00E65D8E">
              <w:t xml:space="preserve"> immediately</w:t>
            </w:r>
            <w:r w:rsidR="00A474B2">
              <w:t xml:space="preserve"> after </w:t>
            </w:r>
            <w:r w:rsidR="00E65D8E">
              <w:t xml:space="preserve">handling </w:t>
            </w:r>
            <w:r w:rsidR="00FA324E">
              <w:t>pyrophoric</w:t>
            </w:r>
            <w:r w:rsidR="00536739">
              <w:t xml:space="preserve"> chemicals</w:t>
            </w:r>
            <w:r w:rsidR="00E65D8E">
              <w:t xml:space="preserve"> and </w:t>
            </w:r>
            <w:r w:rsidR="00A474B2">
              <w:lastRenderedPageBreak/>
              <w:t>removing gloves.</w:t>
            </w:r>
            <w:r w:rsidR="000D1572">
              <w:t xml:space="preserve"> Do not use plastic that can melt and adhere to your clothing/skin in the event of a fire.</w:t>
            </w:r>
          </w:p>
          <w:p w14:paraId="0F518EDA" w14:textId="46E1FF29" w:rsidR="00AE11F2" w:rsidRDefault="00AE11F2" w:rsidP="00151226"/>
          <w:p w14:paraId="6706AA0C" w14:textId="59DC7210" w:rsidR="00AE11F2" w:rsidRDefault="00AE11F2" w:rsidP="00151226">
            <w:pPr>
              <w:pStyle w:val="ListParagraph"/>
              <w:numPr>
                <w:ilvl w:val="0"/>
                <w:numId w:val="10"/>
              </w:numPr>
              <w:ind w:left="250" w:hanging="250"/>
            </w:pPr>
            <w:r w:rsidRPr="00B46B90">
              <w:rPr>
                <w:b/>
                <w:bCs/>
              </w:rPr>
              <w:t>Note:</w:t>
            </w:r>
            <w:r>
              <w:t xml:space="preserve"> Always consult with</w:t>
            </w:r>
            <w:r w:rsidR="00A00876">
              <w:t xml:space="preserve"> your</w:t>
            </w:r>
            <w:r>
              <w:t xml:space="preserve"> glove manufacturer’s glove compatibility chart to ensure selected gloves are compatible with specific chemical being used.</w:t>
            </w:r>
          </w:p>
          <w:p w14:paraId="1362F57F" w14:textId="5670BFC2" w:rsidR="004815AC" w:rsidRDefault="004815AC" w:rsidP="00151226"/>
          <w:p w14:paraId="3E795F47" w14:textId="07388101" w:rsidR="004815AC" w:rsidRDefault="004815AC" w:rsidP="00151226">
            <w:r>
              <w:t>Full length pants and close-toed shoes are required to be worn at all times.</w:t>
            </w:r>
            <w:r w:rsidR="000D1572">
              <w:t xml:space="preserve"> </w:t>
            </w:r>
            <w:r w:rsidR="00CB3072">
              <w:t>Cotton-based, non-synthetic clothing should be worn.</w:t>
            </w:r>
          </w:p>
          <w:p w14:paraId="71653135" w14:textId="521DA7AD" w:rsidR="0055639F" w:rsidRDefault="0055639F" w:rsidP="00151226"/>
          <w:p w14:paraId="56B68791" w14:textId="6F4DCAA4" w:rsidR="0055639F" w:rsidRPr="0069320B" w:rsidRDefault="0055639F" w:rsidP="00151226">
            <w:pPr>
              <w:rPr>
                <w:b/>
                <w:bCs/>
              </w:rPr>
            </w:pPr>
            <w:r w:rsidRPr="0069320B">
              <w:rPr>
                <w:b/>
                <w:bCs/>
                <w:color w:val="FF0000"/>
              </w:rPr>
              <w:t xml:space="preserve">Insert lab specific information on personal protective equipment required for use. </w:t>
            </w:r>
          </w:p>
          <w:p w14:paraId="5F77F69B" w14:textId="77777777" w:rsidR="00E65D8E" w:rsidRDefault="00E65D8E" w:rsidP="00151226"/>
          <w:p w14:paraId="4390DB09" w14:textId="34531078" w:rsidR="0029552A" w:rsidRDefault="00F635AB" w:rsidP="00151226">
            <w:r>
              <w:t>Always w</w:t>
            </w:r>
            <w:r w:rsidR="00151226">
              <w:t xml:space="preserve">ork </w:t>
            </w:r>
            <w:r w:rsidR="00526F6C">
              <w:t xml:space="preserve">with </w:t>
            </w:r>
            <w:r w:rsidR="00FA324E">
              <w:t>pyrophoric</w:t>
            </w:r>
            <w:r w:rsidR="00536739">
              <w:t xml:space="preserve"> chemicals</w:t>
            </w:r>
            <w:r w:rsidR="00526F6C">
              <w:t xml:space="preserve"> </w:t>
            </w:r>
            <w:r w:rsidR="00151226">
              <w:t xml:space="preserve">within a </w:t>
            </w:r>
            <w:r w:rsidR="0029552A">
              <w:t xml:space="preserve">dry-atmosphere glove box or a </w:t>
            </w:r>
            <w:r>
              <w:t xml:space="preserve">properly functioning, </w:t>
            </w:r>
            <w:r w:rsidR="00526F6C">
              <w:t xml:space="preserve">face velocity </w:t>
            </w:r>
            <w:r w:rsidR="00151226">
              <w:t xml:space="preserve">certified laboratory </w:t>
            </w:r>
            <w:r>
              <w:t xml:space="preserve">chemical </w:t>
            </w:r>
            <w:r w:rsidR="00151226">
              <w:t>fume hood</w:t>
            </w:r>
            <w:r w:rsidR="00106834">
              <w:t xml:space="preserve"> (e.g. Schlenk technique)</w:t>
            </w:r>
            <w:r w:rsidR="00C13E61">
              <w:t xml:space="preserve"> with sash lowered as far as possible to offer sufficient protection and containment in the event of a violent reaction, and to provide a barrier between the lab worker and the reaction</w:t>
            </w:r>
            <w:r w:rsidR="00151226">
              <w:t>.</w:t>
            </w:r>
            <w:r w:rsidR="008839E4">
              <w:t xml:space="preserve"> </w:t>
            </w:r>
          </w:p>
          <w:p w14:paraId="709222AF" w14:textId="77777777" w:rsidR="0029552A" w:rsidRDefault="0029552A" w:rsidP="00151226"/>
          <w:p w14:paraId="09CADCF8" w14:textId="70EC8847" w:rsidR="0029552A" w:rsidRDefault="0029552A" w:rsidP="0029552A">
            <w:r>
              <w:t xml:space="preserve">Many pyrophoric chemicals release </w:t>
            </w:r>
            <w:r w:rsidR="00B6588A">
              <w:t>flammable, corrosive, or toxic</w:t>
            </w:r>
            <w:r>
              <w:t xml:space="preserve"> gases. Some solid pyrophoric materials are stored under kerosene (or other flammable solvents), therefore, if not using a glove box, the use of a fume hood is required to prevent the release of flammable vapors in the laboratory.</w:t>
            </w:r>
          </w:p>
          <w:p w14:paraId="468BC6F2" w14:textId="77777777" w:rsidR="0029552A" w:rsidRDefault="0029552A" w:rsidP="0029552A"/>
          <w:p w14:paraId="3AAA2DFD" w14:textId="1D4D31C0" w:rsidR="00151226" w:rsidRDefault="008839E4" w:rsidP="00151226">
            <w:r>
              <w:t>A blast shield is required when there is risk of explosion, splash hazard or highly exothermic reaction. Blast shielding provides additional protection in case of a violent reaction.</w:t>
            </w:r>
          </w:p>
          <w:p w14:paraId="357A4FE4" w14:textId="3057C00F" w:rsidR="001A5F5C" w:rsidRDefault="001A5F5C" w:rsidP="00151226"/>
          <w:p w14:paraId="316FDE4F" w14:textId="7B0B4CCB" w:rsidR="001A5F5C" w:rsidRDefault="001A5F5C" w:rsidP="00151226">
            <w:r>
              <w:t>Vacuum work involving pyrophoric chemicals must be conducted in a fume hood or isolated in an acceptable manner. Mechanical vacuum pumps must be protected using cold traps, and where appropriate, filtered to prevent particulate release. The exhaust for vacuum pumps must be vented into an exhaust hood. Vacuum pumps should be rated for use with pyrophoric chemicals.</w:t>
            </w:r>
          </w:p>
          <w:p w14:paraId="10687036" w14:textId="11A58B5B" w:rsidR="0029552A" w:rsidRDefault="0029552A" w:rsidP="00151226"/>
          <w:p w14:paraId="16DFDD54" w14:textId="36A72C54" w:rsidR="0029552A" w:rsidRDefault="0029552A" w:rsidP="00151226">
            <w:r>
              <w:t xml:space="preserve">Ventilated compressed gas cylinder storage cabinets </w:t>
            </w:r>
            <w:r w:rsidR="00233751">
              <w:t xml:space="preserve">with fire suppression system </w:t>
            </w:r>
            <w:r>
              <w:t xml:space="preserve">are required for pyrophoric gases. </w:t>
            </w:r>
          </w:p>
          <w:p w14:paraId="58B914CF" w14:textId="4F601B78" w:rsidR="00AB4799" w:rsidRDefault="00AB4799" w:rsidP="00151226"/>
          <w:p w14:paraId="350AB55E" w14:textId="02C21D09" w:rsidR="00AB4799" w:rsidRDefault="00AB4799" w:rsidP="00151226">
            <w:r>
              <w:t xml:space="preserve">An emergency eyewash and emergency shower must be available within 10 seconds travel time and 50 feet where pyrophoric chemicals are used. </w:t>
            </w:r>
          </w:p>
          <w:p w14:paraId="0B0D0F16" w14:textId="0F0864E9" w:rsidR="001C6BAF" w:rsidRDefault="001C6BAF" w:rsidP="00151226"/>
          <w:p w14:paraId="5013EEAC" w14:textId="1E335938" w:rsidR="001C6BAF" w:rsidRPr="0069320B" w:rsidRDefault="001C6BAF" w:rsidP="00151226">
            <w:pPr>
              <w:rPr>
                <w:b/>
                <w:bCs/>
              </w:rPr>
            </w:pPr>
            <w:r w:rsidRPr="0069320B">
              <w:rPr>
                <w:b/>
                <w:bCs/>
                <w:color w:val="FF0000"/>
              </w:rPr>
              <w:t>Insert lab specific information on ventilation controls and equipment used to control exposure</w:t>
            </w:r>
            <w:r w:rsidRPr="0069320B">
              <w:rPr>
                <w:b/>
                <w:bCs/>
              </w:rPr>
              <w:t>.</w:t>
            </w:r>
          </w:p>
          <w:p w14:paraId="0054590C" w14:textId="3EE8DBBB" w:rsidR="0002180A" w:rsidRDefault="0002180A" w:rsidP="00151226"/>
          <w:p w14:paraId="06425B85" w14:textId="7C413013" w:rsidR="0002180A" w:rsidRDefault="0002180A" w:rsidP="00151226">
            <w:r>
              <w:t xml:space="preserve">If </w:t>
            </w:r>
            <w:r w:rsidR="00FA324E">
              <w:t>pyrophoric</w:t>
            </w:r>
            <w:r w:rsidR="00536739">
              <w:t xml:space="preserve"> chemicals</w:t>
            </w:r>
            <w:r>
              <w:t xml:space="preserve"> are used outside of a chemical fume hood</w:t>
            </w:r>
            <w:r w:rsidR="00414665">
              <w:t xml:space="preserve"> or glove box</w:t>
            </w:r>
            <w:r>
              <w:t>, respiratory protection may be required which require affected personnel to be medically cleared, fit tested and enrolled in WSU’s Respiratory Protection Program (RPP).</w:t>
            </w:r>
          </w:p>
          <w:p w14:paraId="2DB30DC4" w14:textId="77777777" w:rsidR="006A6643" w:rsidRDefault="006A6643" w:rsidP="00A474B2"/>
        </w:tc>
      </w:tr>
      <w:tr w:rsidR="003E3CD1" w14:paraId="42D98674" w14:textId="77777777" w:rsidTr="00405284">
        <w:tc>
          <w:tcPr>
            <w:tcW w:w="2497" w:type="dxa"/>
          </w:tcPr>
          <w:p w14:paraId="7FED257D" w14:textId="7AF86CEB" w:rsidR="003E3CD1" w:rsidRPr="00803CEB" w:rsidRDefault="003E3CD1" w:rsidP="0010262E">
            <w:pPr>
              <w:numPr>
                <w:ilvl w:val="0"/>
                <w:numId w:val="1"/>
              </w:numPr>
              <w:rPr>
                <w:b/>
                <w:bCs/>
              </w:rPr>
            </w:pPr>
            <w:r w:rsidRPr="00803CEB">
              <w:rPr>
                <w:b/>
                <w:bCs/>
              </w:rPr>
              <w:lastRenderedPageBreak/>
              <w:t xml:space="preserve">WASTE DISPOSAL    </w:t>
            </w:r>
          </w:p>
          <w:p w14:paraId="47C422CC" w14:textId="16EEB04B" w:rsidR="003E3CD1" w:rsidRPr="00803CEB" w:rsidRDefault="003E3CD1" w:rsidP="00366C3C">
            <w:pPr>
              <w:ind w:left="360"/>
              <w:rPr>
                <w:b/>
                <w:bCs/>
              </w:rPr>
            </w:pPr>
            <w:r w:rsidRPr="00803CEB">
              <w:rPr>
                <w:b/>
                <w:bCs/>
              </w:rPr>
              <w:t>PROCEDURES</w:t>
            </w:r>
          </w:p>
        </w:tc>
        <w:tc>
          <w:tcPr>
            <w:tcW w:w="7313" w:type="dxa"/>
          </w:tcPr>
          <w:p w14:paraId="4A77C5A6" w14:textId="10B3BA08" w:rsidR="00D45721" w:rsidRDefault="00151226" w:rsidP="00151226">
            <w:bookmarkStart w:id="0" w:name="_Hlk117064462"/>
            <w:r w:rsidRPr="00352450">
              <w:rPr>
                <w:b/>
              </w:rPr>
              <w:t xml:space="preserve">Waste </w:t>
            </w:r>
            <w:r w:rsidR="00FA324E">
              <w:rPr>
                <w:b/>
              </w:rPr>
              <w:t>Pyrophoric</w:t>
            </w:r>
            <w:r w:rsidR="00536739">
              <w:rPr>
                <w:b/>
              </w:rPr>
              <w:t xml:space="preserve"> Chemicals</w:t>
            </w:r>
            <w:r>
              <w:t xml:space="preserve"> m</w:t>
            </w:r>
            <w:r w:rsidR="00C54FF8">
              <w:t xml:space="preserve">ust be </w:t>
            </w:r>
            <w:r w:rsidR="009A46A7">
              <w:t xml:space="preserve">managed </w:t>
            </w:r>
            <w:r w:rsidR="00C54FF8">
              <w:t>as a Dangerous Waste.</w:t>
            </w:r>
            <w:bookmarkEnd w:id="0"/>
            <w:r w:rsidR="00C54FF8">
              <w:t xml:space="preserve"> </w:t>
            </w:r>
            <w:r w:rsidR="00FA324E">
              <w:t>Pyrophoric chemical</w:t>
            </w:r>
            <w:r w:rsidR="00D46C9D">
              <w:t xml:space="preserve"> wastes</w:t>
            </w:r>
            <w:r w:rsidR="00C54FF8">
              <w:t xml:space="preserve"> should be collected</w:t>
            </w:r>
            <w:r>
              <w:t xml:space="preserve"> in a compatible container</w:t>
            </w:r>
            <w:r w:rsidR="00D46C9D">
              <w:t xml:space="preserve"> </w:t>
            </w:r>
            <w:r w:rsidR="0003259B">
              <w:t>(</w:t>
            </w:r>
            <w:r w:rsidR="00D46C9D">
              <w:t>e.g. a polyethylene container provided by EH&amp;S</w:t>
            </w:r>
            <w:r w:rsidR="0003259B">
              <w:t>)</w:t>
            </w:r>
            <w:r w:rsidR="00AF6A1F">
              <w:t xml:space="preserve">. </w:t>
            </w:r>
            <w:r w:rsidR="002E71DC">
              <w:t>Specialized waste containers and/or lids may be required for comingled wastes where reactions may generate heat or pressure</w:t>
            </w:r>
            <w:r>
              <w:t>.</w:t>
            </w:r>
            <w:r w:rsidR="00AF6A1F">
              <w:t xml:space="preserve"> </w:t>
            </w:r>
            <w:r w:rsidR="002E71DC">
              <w:t xml:space="preserve">Waste </w:t>
            </w:r>
            <w:r>
              <w:t>container</w:t>
            </w:r>
            <w:r w:rsidR="002E71DC">
              <w:t>s</w:t>
            </w:r>
            <w:r>
              <w:t xml:space="preserve"> should be stored away from incompatible materials </w:t>
            </w:r>
            <w:r w:rsidR="00AF6A1F">
              <w:t>(</w:t>
            </w:r>
            <w:r w:rsidR="00D45721">
              <w:t xml:space="preserve">such </w:t>
            </w:r>
            <w:r w:rsidR="00D45721" w:rsidRPr="007C404D">
              <w:t xml:space="preserve">as </w:t>
            </w:r>
            <w:r w:rsidR="00820D02" w:rsidRPr="00AB1295">
              <w:t xml:space="preserve">aqueous solutions, flammable liquids, </w:t>
            </w:r>
            <w:r w:rsidR="00DC6ED2" w:rsidRPr="00AB1295">
              <w:t>oxidiz</w:t>
            </w:r>
            <w:r w:rsidR="00603A0B" w:rsidRPr="00AB1295">
              <w:t>ing agents, acids, and bases</w:t>
            </w:r>
            <w:r w:rsidR="00AF6A1F" w:rsidRPr="002A6515">
              <w:t>)</w:t>
            </w:r>
            <w:r w:rsidR="00D45721" w:rsidRPr="007C404D">
              <w:t>.</w:t>
            </w:r>
            <w:r w:rsidR="00D45721">
              <w:t xml:space="preserve"> </w:t>
            </w:r>
          </w:p>
          <w:p w14:paraId="59F4766F" w14:textId="12705CA4" w:rsidR="00D97DBA" w:rsidRDefault="00D97DBA" w:rsidP="00151226"/>
          <w:p w14:paraId="7B9EAAA9" w14:textId="68DE3BB2" w:rsidR="00D97DBA" w:rsidRDefault="00D97DBA" w:rsidP="00151226">
            <w:r>
              <w:t xml:space="preserve">Pyrophoric chemicals used in chemical reactions must be carefully and completely quenched as part of the experimental procedure before they are collected for waste disposal. Collect the quenched material in a separate container from other wastes. Do not quench unused reagent in </w:t>
            </w:r>
            <w:r w:rsidR="001408D6">
              <w:t>original</w:t>
            </w:r>
            <w:r>
              <w:t xml:space="preserve"> container. Submit unused and unneeded pyrophoric chemicals “as-is” as Dangerous waste.</w:t>
            </w:r>
          </w:p>
          <w:p w14:paraId="6FE64D77" w14:textId="77777777" w:rsidR="00D45721" w:rsidRDefault="00D45721" w:rsidP="00151226"/>
          <w:p w14:paraId="7136B81A" w14:textId="18FB3BD4" w:rsidR="00151226" w:rsidRDefault="00D45721" w:rsidP="00151226">
            <w:r>
              <w:t>A</w:t>
            </w:r>
            <w:r w:rsidR="00151226">
              <w:t xml:space="preserve"> completed Dangerous Waste label </w:t>
            </w:r>
            <w:r w:rsidR="002E71DC">
              <w:t xml:space="preserve">must </w:t>
            </w:r>
            <w:r w:rsidR="00151226">
              <w:t xml:space="preserve">be attached </w:t>
            </w:r>
            <w:r w:rsidR="00153467">
              <w:t xml:space="preserve">to </w:t>
            </w:r>
            <w:r w:rsidR="002E71DC">
              <w:t xml:space="preserve">dangerous waste </w:t>
            </w:r>
            <w:r w:rsidR="00153467">
              <w:t>container</w:t>
            </w:r>
            <w:r w:rsidR="002E71DC">
              <w:t>s</w:t>
            </w:r>
            <w:r w:rsidR="00153467">
              <w:t xml:space="preserve"> </w:t>
            </w:r>
            <w:r w:rsidR="002E71DC">
              <w:t xml:space="preserve">before </w:t>
            </w:r>
            <w:r w:rsidR="00151226">
              <w:t xml:space="preserve">waste is added.  When </w:t>
            </w:r>
            <w:r w:rsidR="002E71DC">
              <w:t xml:space="preserve">the </w:t>
            </w:r>
            <w:r w:rsidR="00151226">
              <w:t>container is full or no longer being used</w:t>
            </w:r>
            <w:r w:rsidR="00C54FF8">
              <w:t>,</w:t>
            </w:r>
            <w:r w:rsidR="00151226">
              <w:t xml:space="preserve"> </w:t>
            </w:r>
            <w:r w:rsidR="00D46C9D">
              <w:t xml:space="preserve">submit </w:t>
            </w:r>
            <w:r w:rsidR="00151226">
              <w:t>a</w:t>
            </w:r>
            <w:r w:rsidR="00125B3A">
              <w:t xml:space="preserve">n online </w:t>
            </w:r>
            <w:r w:rsidR="00151226">
              <w:t>Chemical Collection Request Form, and deliver to the Waste Accumulation Area Operator</w:t>
            </w:r>
            <w:r w:rsidR="00125B3A">
              <w:t xml:space="preserve"> (if applicable)</w:t>
            </w:r>
            <w:r w:rsidR="00151226">
              <w:t xml:space="preserve"> at </w:t>
            </w:r>
            <w:r w:rsidR="00151226" w:rsidRPr="00153467">
              <w:rPr>
                <w:b/>
                <w:color w:val="FF0000"/>
              </w:rPr>
              <w:t>Building, Room, Phone Number</w:t>
            </w:r>
            <w:r w:rsidR="00151226">
              <w:rPr>
                <w:b/>
                <w:color w:val="0000FF"/>
              </w:rPr>
              <w:t xml:space="preserve">. </w:t>
            </w:r>
            <w:r w:rsidR="00125B3A">
              <w:t xml:space="preserve">Dangerous waste information and instructions can be found at the following link: </w:t>
            </w:r>
            <w:hyperlink r:id="rId17" w:history="1">
              <w:r w:rsidR="00125B3A" w:rsidRPr="0058080A">
                <w:rPr>
                  <w:rStyle w:val="Hyperlink"/>
                </w:rPr>
                <w:t>https://ehs.wsu.edu/Chemical-Waste/</w:t>
              </w:r>
            </w:hyperlink>
            <w:r w:rsidR="00125B3A">
              <w:t xml:space="preserve"> </w:t>
            </w:r>
          </w:p>
          <w:p w14:paraId="5B41B09C" w14:textId="77777777" w:rsidR="00C54FF8" w:rsidRDefault="00C54FF8" w:rsidP="00151226"/>
          <w:p w14:paraId="0221318F" w14:textId="1CB3C67A" w:rsidR="00C54FF8" w:rsidRDefault="006D349F" w:rsidP="00C54FF8">
            <w:r>
              <w:t xml:space="preserve">Do not dispose of </w:t>
            </w:r>
            <w:r w:rsidR="00FA324E">
              <w:t>pyrophoric</w:t>
            </w:r>
            <w:r w:rsidR="00B743D5">
              <w:t xml:space="preserve"> chemical</w:t>
            </w:r>
            <w:r>
              <w:t xml:space="preserve"> wastes down the drain or </w:t>
            </w:r>
            <w:r w:rsidR="007F56E7">
              <w:t>in the regular waste stream</w:t>
            </w:r>
            <w:r>
              <w:t xml:space="preserve">. </w:t>
            </w:r>
            <w:r w:rsidR="00F41A44">
              <w:t xml:space="preserve">For assistance evaluating dangerous waste collection of </w:t>
            </w:r>
            <w:r w:rsidR="00FA324E">
              <w:t>pyrophoric</w:t>
            </w:r>
            <w:r w:rsidR="00B743D5">
              <w:t xml:space="preserve"> chemicals</w:t>
            </w:r>
            <w:r w:rsidR="00F41A44">
              <w:t xml:space="preserve">, </w:t>
            </w:r>
            <w:r>
              <w:t>c</w:t>
            </w:r>
            <w:r w:rsidR="002E71DC">
              <w:t xml:space="preserve">ontact </w:t>
            </w:r>
            <w:r w:rsidR="00DE5D18">
              <w:t>EH&amp;S</w:t>
            </w:r>
            <w:r w:rsidR="002E71DC">
              <w:t xml:space="preserve"> </w:t>
            </w:r>
            <w:hyperlink r:id="rId18" w:history="1">
              <w:r w:rsidR="002E71DC" w:rsidRPr="00342432">
                <w:rPr>
                  <w:rStyle w:val="Hyperlink"/>
                </w:rPr>
                <w:t>https://ehs.wsu.edu/contact-information/</w:t>
              </w:r>
            </w:hyperlink>
            <w:r w:rsidR="002E71DC">
              <w:t>.</w:t>
            </w:r>
            <w:r w:rsidR="00C54FF8">
              <w:t xml:space="preserve"> </w:t>
            </w:r>
          </w:p>
          <w:p w14:paraId="33B796AA" w14:textId="251BCF93" w:rsidR="0055639F" w:rsidRDefault="0055639F" w:rsidP="00C54FF8"/>
          <w:p w14:paraId="36F70FBF" w14:textId="653A1FFC" w:rsidR="0055639F" w:rsidRPr="0069320B" w:rsidRDefault="0055639F" w:rsidP="00C54FF8">
            <w:pPr>
              <w:rPr>
                <w:b/>
                <w:bCs/>
              </w:rPr>
            </w:pPr>
            <w:r w:rsidRPr="0069320B">
              <w:rPr>
                <w:b/>
                <w:bCs/>
                <w:color w:val="FF0000"/>
              </w:rPr>
              <w:t>Insert</w:t>
            </w:r>
            <w:r w:rsidR="009B1B62">
              <w:rPr>
                <w:b/>
                <w:bCs/>
                <w:color w:val="FF0000"/>
              </w:rPr>
              <w:t xml:space="preserve"> </w:t>
            </w:r>
            <w:r w:rsidRPr="0069320B">
              <w:rPr>
                <w:b/>
                <w:bCs/>
                <w:color w:val="FF0000"/>
              </w:rPr>
              <w:t xml:space="preserve">lab specific information on </w:t>
            </w:r>
            <w:r w:rsidR="00FA324E">
              <w:rPr>
                <w:b/>
                <w:bCs/>
                <w:color w:val="FF0000"/>
              </w:rPr>
              <w:t>pyrophoric</w:t>
            </w:r>
            <w:r w:rsidR="00B743D5">
              <w:rPr>
                <w:b/>
                <w:bCs/>
                <w:color w:val="FF0000"/>
              </w:rPr>
              <w:t xml:space="preserve"> chemical</w:t>
            </w:r>
            <w:r w:rsidRPr="0069320B">
              <w:rPr>
                <w:b/>
                <w:bCs/>
                <w:color w:val="FF0000"/>
              </w:rPr>
              <w:t xml:space="preserve"> waste collection procedures, location, storage and handling.</w:t>
            </w:r>
            <w:r w:rsidRPr="0069320B">
              <w:rPr>
                <w:b/>
                <w:bCs/>
              </w:rPr>
              <w:t xml:space="preserve"> </w:t>
            </w:r>
          </w:p>
          <w:p w14:paraId="4E76E91B" w14:textId="77777777" w:rsidR="003E3CD1" w:rsidRDefault="003E3CD1"/>
        </w:tc>
      </w:tr>
      <w:tr w:rsidR="003E3CD1" w14:paraId="3D0D1618" w14:textId="77777777" w:rsidTr="00405284">
        <w:tc>
          <w:tcPr>
            <w:tcW w:w="2497" w:type="dxa"/>
          </w:tcPr>
          <w:p w14:paraId="2E07F239" w14:textId="5DEDEB0F" w:rsidR="003E3CD1" w:rsidRPr="00366C3C" w:rsidRDefault="003E3CD1" w:rsidP="0010262E">
            <w:pPr>
              <w:pStyle w:val="ListParagraph"/>
              <w:numPr>
                <w:ilvl w:val="0"/>
                <w:numId w:val="1"/>
              </w:numPr>
              <w:rPr>
                <w:b/>
                <w:bCs/>
              </w:rPr>
            </w:pPr>
            <w:r w:rsidRPr="00366C3C">
              <w:rPr>
                <w:b/>
                <w:bCs/>
              </w:rPr>
              <w:lastRenderedPageBreak/>
              <w:t>DESIGNATED</w:t>
            </w:r>
            <w:r w:rsidR="00803CEB" w:rsidRPr="00366C3C">
              <w:rPr>
                <w:b/>
                <w:bCs/>
              </w:rPr>
              <w:t xml:space="preserve"> </w:t>
            </w:r>
            <w:r w:rsidRPr="00366C3C">
              <w:rPr>
                <w:b/>
                <w:bCs/>
              </w:rPr>
              <w:t xml:space="preserve">AREA    </w:t>
            </w:r>
          </w:p>
          <w:p w14:paraId="01E445A2" w14:textId="219E3094" w:rsidR="003E3CD1" w:rsidRPr="00803CEB" w:rsidRDefault="003E3CD1">
            <w:pPr>
              <w:rPr>
                <w:b/>
                <w:bCs/>
              </w:rPr>
            </w:pPr>
            <w:r w:rsidRPr="00803CEB">
              <w:rPr>
                <w:b/>
                <w:bCs/>
              </w:rPr>
              <w:t xml:space="preserve">      INFORMATION</w:t>
            </w:r>
          </w:p>
          <w:p w14:paraId="2D5011EC" w14:textId="77777777" w:rsidR="003E3CD1" w:rsidRPr="00803CEB" w:rsidRDefault="003E3CD1">
            <w:pPr>
              <w:rPr>
                <w:b/>
                <w:bCs/>
              </w:rPr>
            </w:pPr>
          </w:p>
        </w:tc>
        <w:tc>
          <w:tcPr>
            <w:tcW w:w="7313" w:type="dxa"/>
          </w:tcPr>
          <w:p w14:paraId="73CC5BCE" w14:textId="5F19D732" w:rsidR="00151226" w:rsidRDefault="00FA324E" w:rsidP="00151226">
            <w:r>
              <w:t>Pyrophoric</w:t>
            </w:r>
            <w:r w:rsidR="00B743D5">
              <w:t xml:space="preserve"> chemicals</w:t>
            </w:r>
            <w:r w:rsidR="00EA6044">
              <w:t xml:space="preserve"> are</w:t>
            </w:r>
            <w:r w:rsidR="00151226">
              <w:t xml:space="preserve"> stored and dispensed in </w:t>
            </w:r>
            <w:r w:rsidR="00151226" w:rsidRPr="00153467">
              <w:rPr>
                <w:b/>
                <w:color w:val="FF0000"/>
              </w:rPr>
              <w:t>Building, Room</w:t>
            </w:r>
            <w:r w:rsidR="00151226">
              <w:rPr>
                <w:b/>
                <w:color w:val="0000FF"/>
              </w:rPr>
              <w:t>.</w:t>
            </w:r>
          </w:p>
          <w:p w14:paraId="4D775F2F" w14:textId="77777777" w:rsidR="00151226" w:rsidRDefault="00151226" w:rsidP="00151226"/>
          <w:p w14:paraId="778B66C9" w14:textId="0384D5C5" w:rsidR="00151226" w:rsidRPr="00D3385C" w:rsidRDefault="00151226" w:rsidP="00151226">
            <w:pPr>
              <w:rPr>
                <w:b/>
              </w:rPr>
            </w:pPr>
            <w:r w:rsidRPr="00D3385C">
              <w:rPr>
                <w:b/>
              </w:rPr>
              <w:t>Confine all work</w:t>
            </w:r>
            <w:r w:rsidR="00B35B39">
              <w:rPr>
                <w:b/>
              </w:rPr>
              <w:t xml:space="preserve"> with</w:t>
            </w:r>
            <w:r w:rsidRPr="00D3385C">
              <w:rPr>
                <w:b/>
              </w:rPr>
              <w:t xml:space="preserve"> </w:t>
            </w:r>
            <w:r w:rsidR="00FA324E">
              <w:rPr>
                <w:b/>
              </w:rPr>
              <w:t>pyrophoric</w:t>
            </w:r>
            <w:r w:rsidR="00B743D5">
              <w:rPr>
                <w:b/>
              </w:rPr>
              <w:t xml:space="preserve"> chemicals</w:t>
            </w:r>
            <w:r w:rsidRPr="00D3385C">
              <w:rPr>
                <w:b/>
              </w:rPr>
              <w:t xml:space="preserve"> to </w:t>
            </w:r>
            <w:r w:rsidRPr="00D3385C">
              <w:rPr>
                <w:b/>
                <w:color w:val="000000"/>
              </w:rPr>
              <w:t xml:space="preserve">a </w:t>
            </w:r>
            <w:r w:rsidR="0059495A">
              <w:rPr>
                <w:b/>
                <w:color w:val="000000"/>
              </w:rPr>
              <w:t>dry-atmosphere glove box</w:t>
            </w:r>
            <w:r w:rsidR="0059495A" w:rsidRPr="00D3385C">
              <w:rPr>
                <w:b/>
                <w:color w:val="000000"/>
              </w:rPr>
              <w:t xml:space="preserve"> </w:t>
            </w:r>
            <w:r w:rsidR="0059495A">
              <w:rPr>
                <w:b/>
                <w:color w:val="000000"/>
              </w:rPr>
              <w:t xml:space="preserve">or a </w:t>
            </w:r>
            <w:r w:rsidR="00952E30" w:rsidRPr="00D3385C">
              <w:rPr>
                <w:b/>
                <w:color w:val="000000"/>
              </w:rPr>
              <w:t xml:space="preserve">properly functioning </w:t>
            </w:r>
            <w:r w:rsidRPr="00D3385C">
              <w:rPr>
                <w:b/>
                <w:color w:val="000000"/>
              </w:rPr>
              <w:t xml:space="preserve">certified laboratory </w:t>
            </w:r>
            <w:r w:rsidR="00952E30" w:rsidRPr="00D3385C">
              <w:rPr>
                <w:b/>
                <w:color w:val="000000"/>
              </w:rPr>
              <w:t xml:space="preserve">chemical </w:t>
            </w:r>
            <w:r w:rsidRPr="00D3385C">
              <w:rPr>
                <w:b/>
                <w:color w:val="000000"/>
              </w:rPr>
              <w:t>fume hood</w:t>
            </w:r>
            <w:r w:rsidRPr="00D3385C">
              <w:rPr>
                <w:b/>
              </w:rPr>
              <w:t>.</w:t>
            </w:r>
          </w:p>
          <w:p w14:paraId="147C907E" w14:textId="77777777" w:rsidR="0059495A" w:rsidRDefault="0059495A" w:rsidP="00E56778"/>
          <w:p w14:paraId="4176B151" w14:textId="3D26CC68" w:rsidR="003E3CD1" w:rsidRDefault="00151226" w:rsidP="00E56778">
            <w:r>
              <w:t xml:space="preserve">The designated </w:t>
            </w:r>
            <w:r w:rsidR="00E9397A">
              <w:t>stora</w:t>
            </w:r>
            <w:r w:rsidR="009D3FFE">
              <w:t>ge</w:t>
            </w:r>
            <w:r w:rsidR="00E9397A">
              <w:t xml:space="preserve"> and use </w:t>
            </w:r>
            <w:r>
              <w:t>area</w:t>
            </w:r>
            <w:r w:rsidR="00952E30">
              <w:t>(s)</w:t>
            </w:r>
            <w:r>
              <w:t xml:space="preserve"> should be shown on the floor plan in </w:t>
            </w:r>
            <w:r w:rsidR="00E9397A">
              <w:t>your l</w:t>
            </w:r>
            <w:r>
              <w:t>aborator</w:t>
            </w:r>
            <w:r w:rsidR="00E9397A">
              <w:t>y’</w:t>
            </w:r>
            <w:r>
              <w:t xml:space="preserve">s Chemical Hygiene Plan. </w:t>
            </w:r>
          </w:p>
          <w:p w14:paraId="79E21686" w14:textId="71871042" w:rsidR="0055639F" w:rsidRDefault="0055639F" w:rsidP="00E56778"/>
          <w:p w14:paraId="65879E4C" w14:textId="01D25FAF" w:rsidR="0055639F" w:rsidRDefault="0055639F" w:rsidP="00E56778">
            <w:pPr>
              <w:rPr>
                <w:b/>
                <w:bCs/>
              </w:rPr>
            </w:pPr>
            <w:r w:rsidRPr="0069320B">
              <w:rPr>
                <w:b/>
                <w:bCs/>
                <w:color w:val="FF0000"/>
              </w:rPr>
              <w:t xml:space="preserve">Insert lab specific information on </w:t>
            </w:r>
            <w:r w:rsidR="00FA324E">
              <w:rPr>
                <w:b/>
                <w:bCs/>
                <w:color w:val="FF0000"/>
              </w:rPr>
              <w:t>pyrophoric</w:t>
            </w:r>
            <w:r w:rsidR="00B743D5">
              <w:rPr>
                <w:b/>
                <w:bCs/>
                <w:color w:val="FF0000"/>
              </w:rPr>
              <w:t xml:space="preserve"> chemical</w:t>
            </w:r>
            <w:r w:rsidRPr="0069320B">
              <w:rPr>
                <w:b/>
                <w:bCs/>
                <w:color w:val="FF0000"/>
              </w:rPr>
              <w:t xml:space="preserve"> storage and use locations</w:t>
            </w:r>
            <w:r w:rsidRPr="0069320B">
              <w:rPr>
                <w:b/>
                <w:bCs/>
              </w:rPr>
              <w:t>.</w:t>
            </w:r>
          </w:p>
          <w:p w14:paraId="017D4001" w14:textId="77777777" w:rsidR="00952E30" w:rsidRPr="006A6643" w:rsidRDefault="00952E30" w:rsidP="00E56778"/>
        </w:tc>
      </w:tr>
      <w:tr w:rsidR="003E3CD1" w14:paraId="2DFAB9A4" w14:textId="77777777" w:rsidTr="00405284">
        <w:tc>
          <w:tcPr>
            <w:tcW w:w="2497" w:type="dxa"/>
          </w:tcPr>
          <w:p w14:paraId="3A15653F" w14:textId="35CE2952" w:rsidR="003E3CD1" w:rsidRPr="00405284" w:rsidRDefault="003E3CD1" w:rsidP="0010262E">
            <w:pPr>
              <w:pStyle w:val="ListParagraph"/>
              <w:numPr>
                <w:ilvl w:val="0"/>
                <w:numId w:val="1"/>
              </w:numPr>
              <w:rPr>
                <w:b/>
                <w:bCs/>
                <w:sz w:val="19"/>
                <w:szCs w:val="19"/>
              </w:rPr>
            </w:pPr>
            <w:r w:rsidRPr="00405284">
              <w:rPr>
                <w:b/>
                <w:bCs/>
                <w:sz w:val="19"/>
                <w:szCs w:val="19"/>
              </w:rPr>
              <w:t>DECONTAMINATION</w:t>
            </w:r>
          </w:p>
          <w:p w14:paraId="61D9EE9D" w14:textId="212166C7" w:rsidR="003E3CD1" w:rsidRPr="00405284" w:rsidRDefault="003E3CD1">
            <w:pPr>
              <w:rPr>
                <w:sz w:val="19"/>
                <w:szCs w:val="19"/>
              </w:rPr>
            </w:pPr>
            <w:r w:rsidRPr="00405284">
              <w:rPr>
                <w:b/>
                <w:bCs/>
                <w:sz w:val="19"/>
                <w:szCs w:val="19"/>
              </w:rPr>
              <w:t xml:space="preserve">     </w:t>
            </w:r>
            <w:r w:rsidR="00405284">
              <w:rPr>
                <w:b/>
                <w:bCs/>
                <w:sz w:val="19"/>
                <w:szCs w:val="19"/>
              </w:rPr>
              <w:t xml:space="preserve">  </w:t>
            </w:r>
            <w:r w:rsidRPr="00405284">
              <w:rPr>
                <w:b/>
                <w:bCs/>
                <w:sz w:val="19"/>
                <w:szCs w:val="19"/>
              </w:rPr>
              <w:t>PROCEDURES</w:t>
            </w:r>
          </w:p>
          <w:p w14:paraId="00A3D6E1" w14:textId="77777777" w:rsidR="003E3CD1" w:rsidRDefault="003E3CD1"/>
        </w:tc>
        <w:tc>
          <w:tcPr>
            <w:tcW w:w="7313" w:type="dxa"/>
          </w:tcPr>
          <w:p w14:paraId="2877210C" w14:textId="77777777" w:rsidR="00150DEA" w:rsidRDefault="00150DEA" w:rsidP="00150DEA">
            <w:r w:rsidRPr="00B113D7">
              <w:rPr>
                <w:b/>
                <w:u w:val="single"/>
              </w:rPr>
              <w:t>Upon Accidental Exposure</w:t>
            </w:r>
            <w:r>
              <w:t xml:space="preserve">: </w:t>
            </w:r>
          </w:p>
          <w:p w14:paraId="7D3BA2BF" w14:textId="14C7A23B" w:rsidR="001E031E" w:rsidRDefault="001E031E" w:rsidP="001E031E">
            <w:r>
              <w:t xml:space="preserve">In case of </w:t>
            </w:r>
            <w:r w:rsidRPr="00911C13">
              <w:rPr>
                <w:b/>
              </w:rPr>
              <w:t>eye contact</w:t>
            </w:r>
            <w:r>
              <w:t>, flush eye</w:t>
            </w:r>
            <w:r w:rsidR="008C51DF">
              <w:t>s</w:t>
            </w:r>
            <w:r>
              <w:t xml:space="preserve"> with copious amounts of water at an emergency eyewash station for at least 15 minutes and seek medical attention.   </w:t>
            </w:r>
          </w:p>
          <w:p w14:paraId="73DF7979" w14:textId="77777777" w:rsidR="001E031E" w:rsidRDefault="001E031E" w:rsidP="001E031E"/>
          <w:p w14:paraId="5F4417C2" w14:textId="17ED1280" w:rsidR="001E031E" w:rsidRDefault="001E031E" w:rsidP="001E031E">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r w:rsidR="00734EBA">
              <w:t xml:space="preserve">If a </w:t>
            </w:r>
            <w:r w:rsidR="00B423F5">
              <w:t xml:space="preserve">dry </w:t>
            </w:r>
            <w:r w:rsidR="00C13E61">
              <w:t>pyrophoric</w:t>
            </w:r>
            <w:r w:rsidR="00734EBA">
              <w:t xml:space="preserve"> solid is spilled onto skin, brush off as much as possible</w:t>
            </w:r>
            <w:r w:rsidR="00B423F5">
              <w:t xml:space="preserve"> (if it is not reacting)</w:t>
            </w:r>
            <w:r w:rsidR="00734EBA">
              <w:t>, then flush with copious amounts of water</w:t>
            </w:r>
            <w:r w:rsidR="00A34824">
              <w:t xml:space="preserve"> and seek medical attention. </w:t>
            </w:r>
            <w:r w:rsidR="00B423F5">
              <w:t>Keep in mind that unreacted materials may reignite until they are washed off.</w:t>
            </w:r>
          </w:p>
          <w:p w14:paraId="5250509B" w14:textId="77777777" w:rsidR="001E031E" w:rsidRDefault="001E031E" w:rsidP="001E031E"/>
          <w:p w14:paraId="6E31300F" w14:textId="77777777" w:rsidR="001E031E" w:rsidRDefault="001E031E" w:rsidP="001E031E">
            <w:r>
              <w:t xml:space="preserve">In case of </w:t>
            </w:r>
            <w:r w:rsidRPr="00911C13">
              <w:rPr>
                <w:b/>
              </w:rPr>
              <w:t>inhalation</w:t>
            </w:r>
            <w:r>
              <w:t xml:space="preserve">, move person to fresh air and seek medical attention.  </w:t>
            </w:r>
          </w:p>
          <w:p w14:paraId="700DA2E9" w14:textId="77777777" w:rsidR="001E031E" w:rsidRDefault="001E031E" w:rsidP="001E031E"/>
          <w:p w14:paraId="562FC166" w14:textId="77777777" w:rsidR="001E031E" w:rsidRDefault="001E031E" w:rsidP="001E031E">
            <w:r>
              <w:t xml:space="preserve">In case of </w:t>
            </w:r>
            <w:r w:rsidRPr="00911C13">
              <w:rPr>
                <w:b/>
              </w:rPr>
              <w:t>ingestion</w:t>
            </w:r>
            <w:r>
              <w:t>, immediately seek medical attention and follow instructions on SDS.</w:t>
            </w:r>
          </w:p>
          <w:p w14:paraId="011B5088" w14:textId="77777777" w:rsidR="001E031E" w:rsidRDefault="001E031E" w:rsidP="00150DEA"/>
          <w:p w14:paraId="0FED2928" w14:textId="77777777" w:rsidR="00150DEA" w:rsidRDefault="00150DEA" w:rsidP="00150DEA">
            <w:r w:rsidRPr="00B113D7">
              <w:rPr>
                <w:b/>
                <w:u w:val="single"/>
              </w:rPr>
              <w:t>Upon Accidental Release</w:t>
            </w:r>
            <w:r>
              <w:t xml:space="preserve">: </w:t>
            </w:r>
          </w:p>
          <w:p w14:paraId="18509C68" w14:textId="326C7513" w:rsidR="00150DEA" w:rsidRPr="00071EDE" w:rsidRDefault="00854E88" w:rsidP="00150DEA">
            <w:r>
              <w:rPr>
                <w:b/>
              </w:rPr>
              <w:t xml:space="preserve">Large </w:t>
            </w:r>
            <w:r w:rsidR="00A66F89">
              <w:rPr>
                <w:b/>
              </w:rPr>
              <w:t>Release</w:t>
            </w:r>
            <w:r w:rsidR="00150DEA" w:rsidRPr="00071EDE">
              <w:rPr>
                <w:b/>
              </w:rPr>
              <w:t>:</w:t>
            </w:r>
            <w:r w:rsidR="00150DEA" w:rsidRPr="00071EDE">
              <w:t xml:space="preserve">  If a significant amount of </w:t>
            </w:r>
            <w:r w:rsidR="00FA324E">
              <w:t>pyrophoric</w:t>
            </w:r>
            <w:r w:rsidR="00682AF4">
              <w:t xml:space="preserve"> chemical</w:t>
            </w:r>
            <w:r w:rsidR="00150DEA" w:rsidRPr="00071EDE">
              <w:t xml:space="preserve"> is </w:t>
            </w:r>
            <w:r w:rsidR="00D45721">
              <w:t>spilled</w:t>
            </w:r>
            <w:r w:rsidR="00150DEA" w:rsidRPr="00071EDE">
              <w:t xml:space="preserve"> outside the </w:t>
            </w:r>
            <w:r w:rsidR="00150DEA">
              <w:t>fume hood</w:t>
            </w:r>
            <w:r w:rsidR="00150DEA" w:rsidRPr="00071EDE">
              <w:t>, immediately evacuate, secure area</w:t>
            </w:r>
            <w:r w:rsidR="009A68D5">
              <w:t>, notify others in the vicinity,</w:t>
            </w:r>
            <w:r w:rsidR="00150DEA" w:rsidRPr="00071EDE">
              <w:t xml:space="preserve"> and call 911</w:t>
            </w:r>
            <w:r w:rsidR="009A68D5">
              <w:t xml:space="preserve"> if there is an immediate threat of fire or the spill is uncontained. If personnel are exposed and need medical attention, call 911. </w:t>
            </w:r>
            <w:bookmarkStart w:id="1" w:name="_Hlk117064705"/>
            <w:r w:rsidR="009A68D5">
              <w:t>If the spill is contained, secure the area, evacuate and call EH&amp;S at 509-335-3041.</w:t>
            </w:r>
            <w:bookmarkEnd w:id="1"/>
          </w:p>
          <w:p w14:paraId="678CFB96" w14:textId="77777777" w:rsidR="00150DEA" w:rsidRPr="00D80E1D" w:rsidRDefault="00150DEA" w:rsidP="00150DEA">
            <w:pPr>
              <w:rPr>
                <w:highlight w:val="cyan"/>
              </w:rPr>
            </w:pPr>
          </w:p>
          <w:p w14:paraId="269C9BB9" w14:textId="64D68F29" w:rsidR="004B449D" w:rsidRDefault="00854E88" w:rsidP="00150DEA">
            <w:pPr>
              <w:autoSpaceDE w:val="0"/>
              <w:autoSpaceDN w:val="0"/>
              <w:adjustRightInd w:val="0"/>
            </w:pPr>
            <w:r>
              <w:rPr>
                <w:b/>
              </w:rPr>
              <w:t xml:space="preserve">Small </w:t>
            </w:r>
            <w:r w:rsidR="00A66F89">
              <w:rPr>
                <w:b/>
              </w:rPr>
              <w:t>Release</w:t>
            </w:r>
            <w:r w:rsidR="00150DEA" w:rsidRPr="005B3FB6">
              <w:rPr>
                <w:b/>
              </w:rPr>
              <w:t>:</w:t>
            </w:r>
            <w:r w:rsidR="00150DEA" w:rsidRPr="005B3FB6">
              <w:t xml:space="preserve"> </w:t>
            </w:r>
            <w:r w:rsidR="00B6162C">
              <w:t xml:space="preserve">If a small amount of </w:t>
            </w:r>
            <w:r w:rsidR="00FA324E">
              <w:t>pyrophoric</w:t>
            </w:r>
            <w:r w:rsidR="00682AF4">
              <w:t xml:space="preserve"> chemical</w:t>
            </w:r>
            <w:r w:rsidR="00150DEA">
              <w:t xml:space="preserve"> is </w:t>
            </w:r>
            <w:r w:rsidR="00D45721">
              <w:t>spilled</w:t>
            </w:r>
            <w:r w:rsidR="003A6CBB">
              <w:t xml:space="preserve"> (it can be cleaned up in 10 minutes)</w:t>
            </w:r>
            <w:r w:rsidR="00150DEA">
              <w:t xml:space="preserve"> and you have been appropriately trained to clean it up, you may do so.</w:t>
            </w:r>
            <w:r w:rsidR="00EF2CC7">
              <w:t xml:space="preserve"> Ask for backup from another trained perso</w:t>
            </w:r>
            <w:r w:rsidR="00B423F5">
              <w:t>n</w:t>
            </w:r>
            <w:r w:rsidR="00EF2CC7">
              <w:t xml:space="preserve">. </w:t>
            </w:r>
            <w:r w:rsidR="00150DEA">
              <w:t>Trained personnel sh</w:t>
            </w:r>
            <w:r w:rsidR="008D056C">
              <w:t>all</w:t>
            </w:r>
            <w:r w:rsidR="00A474B2">
              <w:t xml:space="preserve"> wear</w:t>
            </w:r>
            <w:r w:rsidR="008D056C">
              <w:t xml:space="preserve"> </w:t>
            </w:r>
            <w:r w:rsidR="00A474B2">
              <w:t>nitrile</w:t>
            </w:r>
            <w:r w:rsidR="007F3DAB">
              <w:t xml:space="preserve"> </w:t>
            </w:r>
            <w:r w:rsidR="00150DEA">
              <w:t>gloves, chemical splash goggles, and a</w:t>
            </w:r>
            <w:r w:rsidR="00683E63">
              <w:t xml:space="preserve"> </w:t>
            </w:r>
            <w:r w:rsidR="00150DEA">
              <w:t xml:space="preserve">fully-buttoned </w:t>
            </w:r>
            <w:r w:rsidR="00683E63">
              <w:t xml:space="preserve">flame-resistant </w:t>
            </w:r>
            <w:r w:rsidR="00150DEA">
              <w:t xml:space="preserve">lab coat.  </w:t>
            </w:r>
          </w:p>
          <w:p w14:paraId="610ECB7E" w14:textId="77777777" w:rsidR="004B449D" w:rsidRDefault="004B449D" w:rsidP="00150DEA">
            <w:pPr>
              <w:autoSpaceDE w:val="0"/>
              <w:autoSpaceDN w:val="0"/>
              <w:adjustRightInd w:val="0"/>
            </w:pPr>
          </w:p>
          <w:p w14:paraId="4446B41B" w14:textId="07C60A93" w:rsidR="00D80ACD" w:rsidRDefault="00683E63" w:rsidP="00D80ACD">
            <w:pPr>
              <w:autoSpaceDE w:val="0"/>
              <w:autoSpaceDN w:val="0"/>
              <w:adjustRightInd w:val="0"/>
            </w:pPr>
            <w:r>
              <w:t xml:space="preserve">If material is liquid, absorb with an inert material. </w:t>
            </w:r>
            <w:r w:rsidR="001408D6">
              <w:t xml:space="preserve">Do not use combustible materials like paper towels to clean up a spill, as these may increase the risk of igniting the chemical. </w:t>
            </w:r>
            <w:r>
              <w:t>If material is solid, s</w:t>
            </w:r>
            <w:r w:rsidR="006F6586">
              <w:t xml:space="preserve">weep up carefully </w:t>
            </w:r>
            <w:r w:rsidR="005F68FF">
              <w:t xml:space="preserve">with spark-resistant tools </w:t>
            </w:r>
            <w:r w:rsidR="006F6586">
              <w:t>and avoid generating dust</w:t>
            </w:r>
            <w:r w:rsidR="007F3DAB">
              <w:t xml:space="preserve">. </w:t>
            </w:r>
            <w:r>
              <w:t xml:space="preserve">Do NOT use water to clean up spilled material. </w:t>
            </w:r>
            <w:r w:rsidR="007F3DAB">
              <w:t>P</w:t>
            </w:r>
            <w:r w:rsidR="006F6586">
              <w:rPr>
                <w:rFonts w:cs="Arial"/>
              </w:rPr>
              <w:t>lace material in an appropriate waste disposal container (resealable bag, etc.)</w:t>
            </w:r>
            <w:r w:rsidR="006F6586">
              <w:t xml:space="preserve"> </w:t>
            </w:r>
            <w:r w:rsidR="006F6586">
              <w:lastRenderedPageBreak/>
              <w:t>and dispose of as dangerous waste (see Section 6: WASTE DISPOSAL PROCEDURES).</w:t>
            </w:r>
            <w:r w:rsidR="00D80ACD">
              <w:t xml:space="preserve">  </w:t>
            </w:r>
          </w:p>
          <w:p w14:paraId="0B71F474" w14:textId="77777777" w:rsidR="00D80ACD" w:rsidRDefault="00D80ACD" w:rsidP="00CD195E">
            <w:pPr>
              <w:autoSpaceDE w:val="0"/>
              <w:autoSpaceDN w:val="0"/>
              <w:adjustRightInd w:val="0"/>
            </w:pPr>
          </w:p>
          <w:p w14:paraId="0FA17EF6" w14:textId="321B195C" w:rsidR="00CD195E" w:rsidRDefault="00CD195E" w:rsidP="00CD195E">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w:t>
            </w:r>
            <w:r w:rsidR="00D80ACD">
              <w:t xml:space="preserve">follow </w:t>
            </w:r>
            <w:r w:rsidR="008D056C">
              <w:t xml:space="preserve">the large release </w:t>
            </w:r>
            <w:r w:rsidR="00D80ACD">
              <w:t>instructions above</w:t>
            </w:r>
            <w:r>
              <w:t>.</w:t>
            </w:r>
          </w:p>
          <w:p w14:paraId="02364F50" w14:textId="77777777" w:rsidR="003A6CBB" w:rsidRDefault="003A6CBB" w:rsidP="00D80ACD"/>
          <w:p w14:paraId="646408F8" w14:textId="151AFB39" w:rsidR="00D80ACD" w:rsidRPr="009B1B62" w:rsidRDefault="0055639F" w:rsidP="00D80ACD">
            <w:pPr>
              <w:rPr>
                <w:b/>
                <w:bCs/>
              </w:rPr>
            </w:pPr>
            <w:r w:rsidRPr="009B1B62">
              <w:rPr>
                <w:b/>
                <w:bCs/>
                <w:color w:val="FF0000"/>
              </w:rPr>
              <w:t xml:space="preserve">Insert lab specific information on </w:t>
            </w:r>
            <w:r w:rsidR="00FA324E">
              <w:rPr>
                <w:b/>
                <w:bCs/>
                <w:color w:val="FF0000"/>
              </w:rPr>
              <w:t>pyrophoric</w:t>
            </w:r>
            <w:r w:rsidR="00682AF4">
              <w:rPr>
                <w:b/>
                <w:bCs/>
                <w:color w:val="FF0000"/>
              </w:rPr>
              <w:t xml:space="preserve"> chemical</w:t>
            </w:r>
            <w:r w:rsidRPr="009B1B62">
              <w:rPr>
                <w:b/>
                <w:bCs/>
                <w:color w:val="FF0000"/>
              </w:rPr>
              <w:t xml:space="preserve"> spill cleanup procedures</w:t>
            </w:r>
            <w:r w:rsidR="000172D9">
              <w:rPr>
                <w:b/>
                <w:bCs/>
                <w:color w:val="FF0000"/>
              </w:rPr>
              <w:t xml:space="preserve"> and applicable location specific emergency procedures</w:t>
            </w:r>
            <w:r w:rsidRPr="009B1B62">
              <w:rPr>
                <w:b/>
                <w:bCs/>
              </w:rPr>
              <w:t>.</w:t>
            </w:r>
          </w:p>
          <w:p w14:paraId="5A5946B7" w14:textId="788D6B8D" w:rsidR="00D80ACD" w:rsidRDefault="00D80ACD" w:rsidP="00D80ACD"/>
        </w:tc>
      </w:tr>
      <w:tr w:rsidR="003E3CD1" w14:paraId="47B9C38B" w14:textId="77777777" w:rsidTr="00405284">
        <w:trPr>
          <w:trHeight w:val="260"/>
        </w:trPr>
        <w:tc>
          <w:tcPr>
            <w:tcW w:w="2497" w:type="dxa"/>
          </w:tcPr>
          <w:p w14:paraId="06B09648" w14:textId="77777777" w:rsidR="003E3CD1" w:rsidRPr="00803CEB" w:rsidRDefault="003E3CD1">
            <w:pPr>
              <w:numPr>
                <w:ilvl w:val="0"/>
                <w:numId w:val="3"/>
              </w:numPr>
              <w:rPr>
                <w:b/>
                <w:bCs/>
              </w:rPr>
            </w:pPr>
            <w:r w:rsidRPr="00803CEB">
              <w:rPr>
                <w:b/>
                <w:bCs/>
              </w:rPr>
              <w:lastRenderedPageBreak/>
              <w:t xml:space="preserve">SPECIAL STORAGE     </w:t>
            </w:r>
          </w:p>
          <w:p w14:paraId="3F82097E" w14:textId="0691E89C" w:rsidR="003E3CD1" w:rsidRPr="00803CEB" w:rsidRDefault="003E3CD1" w:rsidP="00366C3C">
            <w:pPr>
              <w:ind w:left="360"/>
              <w:rPr>
                <w:b/>
                <w:bCs/>
              </w:rPr>
            </w:pPr>
            <w:r w:rsidRPr="00803CEB">
              <w:rPr>
                <w:b/>
                <w:bCs/>
              </w:rPr>
              <w:t xml:space="preserve">AND HANDLING    </w:t>
            </w:r>
          </w:p>
          <w:p w14:paraId="7AB30F98" w14:textId="76F9584F" w:rsidR="003E3CD1" w:rsidRDefault="003E3CD1">
            <w:r w:rsidRPr="00803CEB">
              <w:rPr>
                <w:b/>
                <w:bCs/>
              </w:rPr>
              <w:t xml:space="preserve">     </w:t>
            </w:r>
            <w:r w:rsidR="00F063D6">
              <w:rPr>
                <w:b/>
                <w:bCs/>
              </w:rPr>
              <w:t xml:space="preserve"> </w:t>
            </w:r>
            <w:r w:rsidRPr="00803CEB">
              <w:rPr>
                <w:b/>
                <w:bCs/>
              </w:rPr>
              <w:t>PROCEDURES</w:t>
            </w:r>
          </w:p>
        </w:tc>
        <w:tc>
          <w:tcPr>
            <w:tcW w:w="7313" w:type="dxa"/>
          </w:tcPr>
          <w:p w14:paraId="36F7A442" w14:textId="72296AC9" w:rsidR="00B46839" w:rsidRDefault="006A1B07" w:rsidP="00F75228">
            <w:pPr>
              <w:pStyle w:val="ListParagraph"/>
              <w:numPr>
                <w:ilvl w:val="0"/>
                <w:numId w:val="7"/>
              </w:numPr>
              <w:autoSpaceDE w:val="0"/>
              <w:autoSpaceDN w:val="0"/>
              <w:adjustRightInd w:val="0"/>
              <w:ind w:left="226" w:hanging="270"/>
            </w:pPr>
            <w:r>
              <w:t>Store</w:t>
            </w:r>
            <w:r w:rsidR="006154CC">
              <w:t xml:space="preserve"> </w:t>
            </w:r>
            <w:r w:rsidR="00FA324E">
              <w:t>pyrophoric</w:t>
            </w:r>
            <w:r w:rsidR="00682AF4">
              <w:t xml:space="preserve"> chemical</w:t>
            </w:r>
            <w:r w:rsidR="000E69B4">
              <w:t xml:space="preserve"> </w:t>
            </w:r>
            <w:r w:rsidR="006154CC">
              <w:t>containers upright</w:t>
            </w:r>
            <w:r>
              <w:t xml:space="preserve"> in a </w:t>
            </w:r>
            <w:r w:rsidR="001058D1">
              <w:t>designated area</w:t>
            </w:r>
            <w:r w:rsidR="00FF083E">
              <w:t xml:space="preserve"> </w:t>
            </w:r>
            <w:r w:rsidR="00CD5A04">
              <w:t>designed for chemical storage</w:t>
            </w:r>
            <w:r w:rsidR="001058D1">
              <w:t xml:space="preserve">. </w:t>
            </w:r>
            <w:r w:rsidR="00C43323">
              <w:t xml:space="preserve">Storage of these materials </w:t>
            </w:r>
            <w:r w:rsidR="00C63534">
              <w:t xml:space="preserve">under an atmosphere of inert gas </w:t>
            </w:r>
            <w:r w:rsidR="003442E3">
              <w:t xml:space="preserve">(e.g. argon) </w:t>
            </w:r>
            <w:r w:rsidR="00C63534">
              <w:t>or under an appropriate liquid is advisable (</w:t>
            </w:r>
            <w:r w:rsidR="00C43323">
              <w:t xml:space="preserve">inside a </w:t>
            </w:r>
            <w:proofErr w:type="spellStart"/>
            <w:r w:rsidR="00C43323">
              <w:t>dessicator</w:t>
            </w:r>
            <w:proofErr w:type="spellEnd"/>
            <w:r w:rsidR="00C43323">
              <w:t xml:space="preserve"> </w:t>
            </w:r>
            <w:r w:rsidR="002D721F">
              <w:t>or glove box</w:t>
            </w:r>
            <w:r w:rsidR="00C63534">
              <w:t>)</w:t>
            </w:r>
            <w:r w:rsidR="00C43323">
              <w:t xml:space="preserve">. </w:t>
            </w:r>
            <w:r w:rsidR="001058D1">
              <w:t xml:space="preserve">Storage area should be a </w:t>
            </w:r>
            <w:r>
              <w:t xml:space="preserve">secured, </w:t>
            </w:r>
            <w:r w:rsidR="00C43323">
              <w:t xml:space="preserve">dry, </w:t>
            </w:r>
            <w:r>
              <w:t xml:space="preserve">cool and well-ventilated area away from </w:t>
            </w:r>
            <w:r w:rsidR="002D721F">
              <w:t xml:space="preserve">moisture/humidity, </w:t>
            </w:r>
            <w:r>
              <w:t xml:space="preserve">direct sunlight, heat, sparks, flame, or other sources of ignition. </w:t>
            </w:r>
          </w:p>
          <w:p w14:paraId="477E6A55" w14:textId="77777777" w:rsidR="0046453E" w:rsidRDefault="0046453E" w:rsidP="0046453E">
            <w:pPr>
              <w:pStyle w:val="ListParagraph"/>
              <w:autoSpaceDE w:val="0"/>
              <w:autoSpaceDN w:val="0"/>
              <w:adjustRightInd w:val="0"/>
              <w:ind w:left="226"/>
            </w:pPr>
          </w:p>
          <w:p w14:paraId="0CC32DEE" w14:textId="51A67EF9" w:rsidR="0046453E" w:rsidRDefault="0046453E" w:rsidP="00F75228">
            <w:pPr>
              <w:pStyle w:val="ListParagraph"/>
              <w:numPr>
                <w:ilvl w:val="0"/>
                <w:numId w:val="7"/>
              </w:numPr>
              <w:autoSpaceDE w:val="0"/>
              <w:autoSpaceDN w:val="0"/>
              <w:adjustRightInd w:val="0"/>
              <w:ind w:left="226" w:hanging="270"/>
            </w:pPr>
            <w:r>
              <w:t xml:space="preserve">Do not store pyrophoric chemicals with flammable materials or in a flammable-liquids storage cabinet where other flammable chemicals are stored. </w:t>
            </w:r>
          </w:p>
          <w:p w14:paraId="7B2EF888" w14:textId="77777777" w:rsidR="00967B70" w:rsidRDefault="00967B70" w:rsidP="00967B70">
            <w:pPr>
              <w:pStyle w:val="ListParagraph"/>
            </w:pPr>
          </w:p>
          <w:p w14:paraId="7B620A38" w14:textId="1A602139" w:rsidR="00967B70" w:rsidRDefault="00967B70" w:rsidP="00F75228">
            <w:pPr>
              <w:pStyle w:val="ListParagraph"/>
              <w:numPr>
                <w:ilvl w:val="0"/>
                <w:numId w:val="7"/>
              </w:numPr>
              <w:autoSpaceDE w:val="0"/>
              <w:autoSpaceDN w:val="0"/>
              <w:adjustRightInd w:val="0"/>
              <w:ind w:left="226" w:hanging="270"/>
            </w:pPr>
            <w:r>
              <w:t xml:space="preserve">Store bottles of liquid </w:t>
            </w:r>
            <w:proofErr w:type="spellStart"/>
            <w:r>
              <w:t>pyrophorics</w:t>
            </w:r>
            <w:proofErr w:type="spellEnd"/>
            <w:r>
              <w:t xml:space="preserve"> inside the original metal shipping can, if available, to provide additional protection and secondary containment.</w:t>
            </w:r>
          </w:p>
          <w:p w14:paraId="49CF29B4" w14:textId="77777777" w:rsidR="00E9397A" w:rsidRDefault="00E9397A" w:rsidP="00E9397A">
            <w:pPr>
              <w:pStyle w:val="ListParagraph"/>
              <w:autoSpaceDE w:val="0"/>
              <w:autoSpaceDN w:val="0"/>
              <w:adjustRightInd w:val="0"/>
              <w:ind w:left="226"/>
            </w:pPr>
          </w:p>
          <w:p w14:paraId="2BC9C78C" w14:textId="56EE2588" w:rsidR="00B46839" w:rsidRDefault="006A1B07" w:rsidP="00B46839">
            <w:pPr>
              <w:pStyle w:val="ListParagraph"/>
              <w:numPr>
                <w:ilvl w:val="0"/>
                <w:numId w:val="7"/>
              </w:numPr>
              <w:autoSpaceDE w:val="0"/>
              <w:autoSpaceDN w:val="0"/>
              <w:adjustRightInd w:val="0"/>
              <w:ind w:left="226" w:hanging="270"/>
            </w:pPr>
            <w:r>
              <w:t>Store in tightly cl</w:t>
            </w:r>
            <w:r w:rsidR="008E55C3">
              <w:t>o</w:t>
            </w:r>
            <w:r w:rsidR="005F7197">
              <w:t>sed</w:t>
            </w:r>
            <w:r>
              <w:t xml:space="preserve"> </w:t>
            </w:r>
            <w:r w:rsidR="00B46839">
              <w:t xml:space="preserve">original </w:t>
            </w:r>
            <w:r>
              <w:t>container until ready for use.</w:t>
            </w:r>
            <w:r w:rsidR="00B46839">
              <w:t xml:space="preserve"> </w:t>
            </w:r>
            <w:r w:rsidR="00DD4208">
              <w:t>Containers should be in good condition and compatible with material</w:t>
            </w:r>
            <w:r w:rsidR="00D973ED">
              <w:t>.</w:t>
            </w:r>
            <w:r w:rsidR="00DD4208">
              <w:t xml:space="preserve"> </w:t>
            </w:r>
            <w:r w:rsidR="00B1615B">
              <w:t>Always reapply lid to container when not actively handling/dispensing chemical.</w:t>
            </w:r>
            <w:r w:rsidR="00873A16">
              <w:t xml:space="preserve"> Never leave a container with a residue of a pyrophoric material open to the atmosphere.</w:t>
            </w:r>
          </w:p>
          <w:p w14:paraId="5818F73F" w14:textId="77777777" w:rsidR="003E4E1D" w:rsidRDefault="003E4E1D" w:rsidP="003E4E1D">
            <w:pPr>
              <w:pStyle w:val="ListParagraph"/>
            </w:pPr>
          </w:p>
          <w:p w14:paraId="36CFAC7D" w14:textId="44C86E98" w:rsidR="003E4E1D" w:rsidRDefault="003E4E1D" w:rsidP="00B46839">
            <w:pPr>
              <w:pStyle w:val="ListParagraph"/>
              <w:numPr>
                <w:ilvl w:val="0"/>
                <w:numId w:val="7"/>
              </w:numPr>
              <w:autoSpaceDE w:val="0"/>
              <w:autoSpaceDN w:val="0"/>
              <w:adjustRightInd w:val="0"/>
              <w:ind w:left="226" w:hanging="270"/>
            </w:pPr>
            <w:r>
              <w:t>Never return excess chemicals to the original container. Small amounts of impurities may be introduced into the container which may cause a fire or explosion.</w:t>
            </w:r>
          </w:p>
          <w:p w14:paraId="39C8A48C" w14:textId="77777777" w:rsidR="00FF083E" w:rsidRDefault="00FF083E" w:rsidP="00FF083E">
            <w:pPr>
              <w:pStyle w:val="ListParagraph"/>
            </w:pPr>
          </w:p>
          <w:p w14:paraId="7369B81A" w14:textId="445AF8AD" w:rsidR="00FF083E" w:rsidRDefault="00FF083E" w:rsidP="00B46839">
            <w:pPr>
              <w:pStyle w:val="ListParagraph"/>
              <w:numPr>
                <w:ilvl w:val="0"/>
                <w:numId w:val="7"/>
              </w:numPr>
              <w:autoSpaceDE w:val="0"/>
              <w:autoSpaceDN w:val="0"/>
              <w:adjustRightInd w:val="0"/>
              <w:ind w:left="226" w:hanging="270"/>
            </w:pPr>
            <w:r>
              <w:t>Store</w:t>
            </w:r>
            <w:r w:rsidR="00FA324E">
              <w:t xml:space="preserve"> pyrophoric</w:t>
            </w:r>
            <w:r>
              <w:t xml:space="preserve"> chemicals away from aqueous (water-containing) solutions, or near other sources of water such as sinks, water baths, or recirculating chillers.</w:t>
            </w:r>
            <w:r w:rsidR="00B1615B">
              <w:t xml:space="preserve"> Do not leave containers near sources of water (e.g. sinks, emergency eyewashes) even momentarily.</w:t>
            </w:r>
          </w:p>
          <w:p w14:paraId="5A815DBC" w14:textId="77777777" w:rsidR="00634829" w:rsidRDefault="00634829" w:rsidP="00634829">
            <w:pPr>
              <w:autoSpaceDE w:val="0"/>
              <w:autoSpaceDN w:val="0"/>
              <w:adjustRightInd w:val="0"/>
            </w:pPr>
          </w:p>
          <w:p w14:paraId="52D8D8FF" w14:textId="6D474B23" w:rsidR="00C2727D" w:rsidRPr="00C2727D" w:rsidRDefault="00D45721" w:rsidP="00EA15AB">
            <w:pPr>
              <w:pStyle w:val="ListParagraph"/>
              <w:numPr>
                <w:ilvl w:val="0"/>
                <w:numId w:val="7"/>
              </w:numPr>
              <w:autoSpaceDE w:val="0"/>
              <w:autoSpaceDN w:val="0"/>
              <w:adjustRightInd w:val="0"/>
              <w:ind w:left="226" w:hanging="270"/>
            </w:pPr>
            <w:r>
              <w:t>Store segregated from incompatible chemicals</w:t>
            </w:r>
            <w:r w:rsidR="00B46839">
              <w:t xml:space="preserve"> </w:t>
            </w:r>
            <w:r w:rsidR="00C2727D">
              <w:t xml:space="preserve">such as </w:t>
            </w:r>
            <w:r w:rsidR="009F63A8" w:rsidRPr="007A30A7">
              <w:t xml:space="preserve">water and aqueous solutions, </w:t>
            </w:r>
            <w:r w:rsidR="00FF083E" w:rsidRPr="007A30A7">
              <w:t>flammable liquids and materials,</w:t>
            </w:r>
            <w:r w:rsidR="009F63A8" w:rsidRPr="007A30A7">
              <w:t xml:space="preserve"> </w:t>
            </w:r>
            <w:r w:rsidR="00C2727D" w:rsidRPr="007A30A7">
              <w:t>oxidiz</w:t>
            </w:r>
            <w:r w:rsidR="00851DE3" w:rsidRPr="007A30A7">
              <w:t>ers, acids, and bases</w:t>
            </w:r>
            <w:r w:rsidR="00C2727D">
              <w:t xml:space="preserve"> </w:t>
            </w:r>
            <w:r w:rsidR="00B46839">
              <w:t>(refer to Section 10 of SDS).</w:t>
            </w:r>
            <w:r w:rsidR="00EA15AB">
              <w:t xml:space="preserve"> </w:t>
            </w:r>
            <w:r w:rsidR="00DE03B6">
              <w:t xml:space="preserve">If storage space is limited, </w:t>
            </w:r>
            <w:r w:rsidR="00DE03B6" w:rsidRPr="00DE03B6">
              <w:t>use</w:t>
            </w:r>
            <w:r w:rsidR="006A1B07" w:rsidRPr="00DE03B6">
              <w:t xml:space="preserve"> secondary containment such as a Nalgene/polypropylene tub</w:t>
            </w:r>
            <w:r w:rsidR="00DE03B6">
              <w:t>s</w:t>
            </w:r>
            <w:r w:rsidR="006A1B07" w:rsidRPr="00DE03B6">
              <w:t>.</w:t>
            </w:r>
            <w:r w:rsidR="006A1B07" w:rsidRPr="00EA15AB">
              <w:rPr>
                <w:rFonts w:cs="Arial"/>
              </w:rPr>
              <w:t xml:space="preserve"> </w:t>
            </w:r>
          </w:p>
          <w:p w14:paraId="64099BF5" w14:textId="77777777" w:rsidR="00C2727D" w:rsidRPr="00C2727D" w:rsidRDefault="00C2727D" w:rsidP="00C2727D">
            <w:pPr>
              <w:pStyle w:val="ListParagraph"/>
              <w:rPr>
                <w:rFonts w:cs="Arial"/>
              </w:rPr>
            </w:pPr>
          </w:p>
          <w:p w14:paraId="138CC4CA" w14:textId="48B20DFC" w:rsidR="00C45221" w:rsidRPr="00C45221" w:rsidRDefault="00C2727D" w:rsidP="00EA15AB">
            <w:pPr>
              <w:pStyle w:val="ListParagraph"/>
              <w:numPr>
                <w:ilvl w:val="0"/>
                <w:numId w:val="7"/>
              </w:numPr>
              <w:autoSpaceDE w:val="0"/>
              <w:autoSpaceDN w:val="0"/>
              <w:adjustRightInd w:val="0"/>
              <w:ind w:left="226" w:hanging="270"/>
            </w:pPr>
            <w:r>
              <w:rPr>
                <w:rFonts w:cs="Arial"/>
              </w:rPr>
              <w:t>Avoid using ignition sources (e.g. flame burners, hot plates, electrical</w:t>
            </w:r>
            <w:r w:rsidR="00795E56">
              <w:rPr>
                <w:rFonts w:cs="Arial"/>
              </w:rPr>
              <w:t xml:space="preserve"> equipment with damaged wiring, etc.</w:t>
            </w:r>
            <w:r>
              <w:rPr>
                <w:rFonts w:cs="Arial"/>
              </w:rPr>
              <w:t>)</w:t>
            </w:r>
            <w:r w:rsidR="00C45221">
              <w:rPr>
                <w:rFonts w:cs="Arial"/>
              </w:rPr>
              <w:t xml:space="preserve"> in areas where </w:t>
            </w:r>
            <w:r w:rsidR="00FA324E">
              <w:rPr>
                <w:rFonts w:cs="Arial"/>
              </w:rPr>
              <w:t>pyrophoric chemicals</w:t>
            </w:r>
            <w:r w:rsidR="00C45221">
              <w:rPr>
                <w:rFonts w:cs="Arial"/>
              </w:rPr>
              <w:t xml:space="preserve"> are being used. </w:t>
            </w:r>
          </w:p>
          <w:p w14:paraId="1A662644" w14:textId="77777777" w:rsidR="00C45221" w:rsidRPr="00C45221" w:rsidRDefault="00C45221" w:rsidP="00C45221">
            <w:pPr>
              <w:pStyle w:val="ListParagraph"/>
              <w:rPr>
                <w:rFonts w:cs="Arial"/>
              </w:rPr>
            </w:pPr>
          </w:p>
          <w:p w14:paraId="0766A3B1" w14:textId="6F969629" w:rsidR="005B3AE6" w:rsidRPr="005B3AE6" w:rsidRDefault="00C45221" w:rsidP="00EA15AB">
            <w:pPr>
              <w:pStyle w:val="ListParagraph"/>
              <w:numPr>
                <w:ilvl w:val="0"/>
                <w:numId w:val="7"/>
              </w:numPr>
              <w:autoSpaceDE w:val="0"/>
              <w:autoSpaceDN w:val="0"/>
              <w:adjustRightInd w:val="0"/>
              <w:ind w:left="226" w:hanging="270"/>
            </w:pPr>
            <w:r>
              <w:rPr>
                <w:rFonts w:cs="Arial"/>
              </w:rPr>
              <w:t xml:space="preserve">Identify and eliminate sources of </w:t>
            </w:r>
            <w:r w:rsidR="00C2727D">
              <w:rPr>
                <w:rFonts w:cs="Arial"/>
              </w:rPr>
              <w:t>static electricity</w:t>
            </w:r>
            <w:r>
              <w:rPr>
                <w:rFonts w:cs="Arial"/>
              </w:rPr>
              <w:t xml:space="preserve"> discharge</w:t>
            </w:r>
            <w:r w:rsidR="00C2727D">
              <w:rPr>
                <w:rFonts w:cs="Arial"/>
              </w:rPr>
              <w:t xml:space="preserve"> in areas where </w:t>
            </w:r>
            <w:r w:rsidR="00FA324E">
              <w:rPr>
                <w:rFonts w:cs="Arial"/>
              </w:rPr>
              <w:t>pyrophoric</w:t>
            </w:r>
            <w:r w:rsidR="008E1098">
              <w:rPr>
                <w:rFonts w:cs="Arial"/>
              </w:rPr>
              <w:t xml:space="preserve"> chemicals</w:t>
            </w:r>
            <w:r w:rsidR="00C2727D">
              <w:rPr>
                <w:rFonts w:cs="Arial"/>
              </w:rPr>
              <w:t xml:space="preserve"> are being used.</w:t>
            </w:r>
            <w:r>
              <w:rPr>
                <w:rFonts w:cs="Arial"/>
              </w:rPr>
              <w:t xml:space="preserve"> Clothing, plastic use, and the transfer of materials between containers are all sources of static electricity. The potential for static electricity increases in low humidity environments (e.g. dry rooms).</w:t>
            </w:r>
          </w:p>
          <w:p w14:paraId="5ADDEF65" w14:textId="77777777" w:rsidR="00733756" w:rsidRDefault="00733756" w:rsidP="00D973ED"/>
          <w:p w14:paraId="04917263" w14:textId="54F3107E" w:rsidR="00733756" w:rsidRDefault="00733756" w:rsidP="00B46839">
            <w:pPr>
              <w:pStyle w:val="ListParagraph"/>
              <w:numPr>
                <w:ilvl w:val="0"/>
                <w:numId w:val="7"/>
              </w:numPr>
              <w:autoSpaceDE w:val="0"/>
              <w:autoSpaceDN w:val="0"/>
              <w:adjustRightInd w:val="0"/>
              <w:ind w:left="226" w:hanging="270"/>
            </w:pPr>
            <w:r>
              <w:t>Purchase and store</w:t>
            </w:r>
            <w:r w:rsidR="00A00B6B">
              <w:t xml:space="preserve"> the</w:t>
            </w:r>
            <w:r>
              <w:t xml:space="preserve"> smallest quantities </w:t>
            </w:r>
            <w:r w:rsidR="00A00B6B">
              <w:t xml:space="preserve">and lowest concentrations </w:t>
            </w:r>
            <w:r>
              <w:t>needed for experimentation</w:t>
            </w:r>
            <w:r w:rsidR="00CB59ED">
              <w:t xml:space="preserve"> and what can be stored safely in the laboratory</w:t>
            </w:r>
            <w:r>
              <w:t xml:space="preserve">. </w:t>
            </w:r>
          </w:p>
          <w:p w14:paraId="41C2578E" w14:textId="77777777" w:rsidR="003412F5" w:rsidRDefault="003412F5" w:rsidP="003412F5">
            <w:pPr>
              <w:pStyle w:val="ListParagraph"/>
            </w:pPr>
          </w:p>
          <w:p w14:paraId="01EED086" w14:textId="49AD36F3" w:rsidR="003412F5" w:rsidRDefault="003412F5" w:rsidP="00B46839">
            <w:pPr>
              <w:pStyle w:val="ListParagraph"/>
              <w:numPr>
                <w:ilvl w:val="0"/>
                <w:numId w:val="7"/>
              </w:numPr>
              <w:autoSpaceDE w:val="0"/>
              <w:autoSpaceDN w:val="0"/>
              <w:adjustRightInd w:val="0"/>
              <w:ind w:left="226" w:hanging="270"/>
            </w:pPr>
            <w:r>
              <w:t xml:space="preserve">Purchase the </w:t>
            </w:r>
            <w:r w:rsidR="00A00B6B">
              <w:t>least hazardous</w:t>
            </w:r>
            <w:r>
              <w:t xml:space="preserve"> chemical that will work for your intended use.</w:t>
            </w:r>
          </w:p>
          <w:p w14:paraId="67AB6288" w14:textId="77777777" w:rsidR="00FF083E" w:rsidRDefault="00FF083E" w:rsidP="00FF083E">
            <w:pPr>
              <w:pStyle w:val="ListParagraph"/>
            </w:pPr>
          </w:p>
          <w:p w14:paraId="5BB5C74B" w14:textId="1ACDF1F1" w:rsidR="00FF083E" w:rsidRDefault="00FF083E" w:rsidP="00B46839">
            <w:pPr>
              <w:pStyle w:val="ListParagraph"/>
              <w:numPr>
                <w:ilvl w:val="0"/>
                <w:numId w:val="7"/>
              </w:numPr>
              <w:autoSpaceDE w:val="0"/>
              <w:autoSpaceDN w:val="0"/>
              <w:adjustRightInd w:val="0"/>
              <w:ind w:left="226" w:hanging="270"/>
            </w:pPr>
            <w:r>
              <w:lastRenderedPageBreak/>
              <w:t xml:space="preserve">Dispose of expired </w:t>
            </w:r>
            <w:r w:rsidR="00AB4DBF">
              <w:t>pyrophoric</w:t>
            </w:r>
            <w:r>
              <w:t xml:space="preserve"> chemicals appropriately. Dating chemical containers upon receipt and opening is good practice.</w:t>
            </w:r>
            <w:r w:rsidR="00032ED8">
              <w:t xml:space="preserve"> Many pyrophoric reagents become unstable or more dangerous with age.</w:t>
            </w:r>
          </w:p>
          <w:p w14:paraId="150035FC" w14:textId="77777777" w:rsidR="003412F5" w:rsidRDefault="003412F5" w:rsidP="003412F5">
            <w:pPr>
              <w:pStyle w:val="ListParagraph"/>
            </w:pPr>
          </w:p>
          <w:p w14:paraId="35E45E3E" w14:textId="1B8EFB91" w:rsidR="003412F5" w:rsidRDefault="003412F5" w:rsidP="00B46839">
            <w:pPr>
              <w:pStyle w:val="ListParagraph"/>
              <w:numPr>
                <w:ilvl w:val="0"/>
                <w:numId w:val="7"/>
              </w:numPr>
              <w:autoSpaceDE w:val="0"/>
              <w:autoSpaceDN w:val="0"/>
              <w:adjustRightInd w:val="0"/>
              <w:ind w:left="226" w:hanging="270"/>
            </w:pPr>
            <w:r>
              <w:t>For metals, purchase the largest me</w:t>
            </w:r>
            <w:r w:rsidR="002E6BFF">
              <w:t>sh</w:t>
            </w:r>
            <w:r>
              <w:t xml:space="preserve"> size that will work for your intended use. Do not order powders if granules will work.</w:t>
            </w:r>
          </w:p>
          <w:p w14:paraId="0488028F" w14:textId="77777777" w:rsidR="00DC52F7" w:rsidRDefault="00DC52F7" w:rsidP="00A570E2"/>
          <w:p w14:paraId="08E99865" w14:textId="2268CE34" w:rsidR="00DC52F7" w:rsidRDefault="00DC52F7" w:rsidP="00B46839">
            <w:pPr>
              <w:pStyle w:val="ListParagraph"/>
              <w:numPr>
                <w:ilvl w:val="0"/>
                <w:numId w:val="7"/>
              </w:numPr>
              <w:autoSpaceDE w:val="0"/>
              <w:autoSpaceDN w:val="0"/>
              <w:adjustRightInd w:val="0"/>
              <w:ind w:left="226" w:hanging="270"/>
            </w:pPr>
            <w:r>
              <w:t xml:space="preserve">Do not work alone when handling </w:t>
            </w:r>
            <w:r w:rsidR="00AB4DBF">
              <w:t xml:space="preserve">pyrophoric </w:t>
            </w:r>
            <w:r>
              <w:t xml:space="preserve">chemicals. Inform other lab occupants when working with </w:t>
            </w:r>
            <w:r w:rsidR="00AB4DBF">
              <w:t>pyrophoric</w:t>
            </w:r>
            <w:r>
              <w:t xml:space="preserve"> chemicals.</w:t>
            </w:r>
          </w:p>
          <w:p w14:paraId="450D9591" w14:textId="77777777" w:rsidR="001260AD" w:rsidRDefault="001260AD" w:rsidP="001260AD">
            <w:pPr>
              <w:pStyle w:val="ListParagraph"/>
            </w:pPr>
          </w:p>
          <w:p w14:paraId="61A120FE" w14:textId="75317A84" w:rsidR="000633A1" w:rsidRDefault="001260AD" w:rsidP="000633A1">
            <w:pPr>
              <w:pStyle w:val="ListParagraph"/>
              <w:numPr>
                <w:ilvl w:val="0"/>
                <w:numId w:val="7"/>
              </w:numPr>
              <w:autoSpaceDE w:val="0"/>
              <w:autoSpaceDN w:val="0"/>
              <w:adjustRightInd w:val="0"/>
              <w:ind w:left="226" w:hanging="270"/>
            </w:pPr>
            <w:r>
              <w:t xml:space="preserve">Keep work area clean and orderly when working with </w:t>
            </w:r>
            <w:r w:rsidR="00AB4DBF">
              <w:t xml:space="preserve">pyrophoric </w:t>
            </w:r>
            <w:r w:rsidR="008E1098">
              <w:t>chemicals</w:t>
            </w:r>
            <w:r>
              <w:t>. Put away unnecessary chemicals and other materials when working wit</w:t>
            </w:r>
            <w:r w:rsidR="008E1098">
              <w:t xml:space="preserve">h </w:t>
            </w:r>
            <w:r w:rsidR="00AB4DBF">
              <w:t>pyrophoric</w:t>
            </w:r>
            <w:r w:rsidR="008E1098">
              <w:t xml:space="preserve"> chemicals</w:t>
            </w:r>
            <w:r>
              <w:t xml:space="preserve">. </w:t>
            </w:r>
            <w:r w:rsidR="00AB4DBF">
              <w:t xml:space="preserve">Pyrophoric </w:t>
            </w:r>
            <w:r w:rsidR="008E1098">
              <w:t>chemicals</w:t>
            </w:r>
            <w:r>
              <w:t xml:space="preserve"> that ignite can easily consume other materials around it.</w:t>
            </w:r>
          </w:p>
          <w:p w14:paraId="622F1DF4" w14:textId="77777777" w:rsidR="00D01A7D" w:rsidRDefault="00D01A7D" w:rsidP="00D01A7D">
            <w:pPr>
              <w:pStyle w:val="ListParagraph"/>
            </w:pPr>
          </w:p>
          <w:p w14:paraId="06360A20" w14:textId="4916954A" w:rsidR="00D01A7D" w:rsidRDefault="00D01A7D" w:rsidP="000633A1">
            <w:pPr>
              <w:pStyle w:val="ListParagraph"/>
              <w:numPr>
                <w:ilvl w:val="0"/>
                <w:numId w:val="7"/>
              </w:numPr>
              <w:autoSpaceDE w:val="0"/>
              <w:autoSpaceDN w:val="0"/>
              <w:adjustRightInd w:val="0"/>
              <w:ind w:left="226" w:hanging="270"/>
            </w:pPr>
            <w:r>
              <w:t xml:space="preserve">Conduct a “dry-run” of the experiment as appropriate using low-hazard materials, such as water or solvent, before introducing </w:t>
            </w:r>
            <w:proofErr w:type="spellStart"/>
            <w:r>
              <w:t>pyrophorics</w:t>
            </w:r>
            <w:proofErr w:type="spellEnd"/>
            <w:r>
              <w:t>.</w:t>
            </w:r>
            <w:r w:rsidR="00D23575">
              <w:t xml:space="preserve"> Review the location of the emergency shower, eyewash, telephone (dial 911), and fire extinguisher(s).</w:t>
            </w:r>
          </w:p>
          <w:p w14:paraId="7D7B9832" w14:textId="77777777" w:rsidR="000633A1" w:rsidRDefault="000633A1" w:rsidP="000633A1">
            <w:pPr>
              <w:pStyle w:val="ListParagraph"/>
            </w:pPr>
          </w:p>
          <w:p w14:paraId="5D4014C9" w14:textId="610A3B38" w:rsidR="000633A1" w:rsidRDefault="000633A1" w:rsidP="000633A1">
            <w:pPr>
              <w:pStyle w:val="ListParagraph"/>
              <w:numPr>
                <w:ilvl w:val="0"/>
                <w:numId w:val="7"/>
              </w:numPr>
              <w:autoSpaceDE w:val="0"/>
              <w:autoSpaceDN w:val="0"/>
              <w:adjustRightInd w:val="0"/>
              <w:ind w:left="226" w:hanging="270"/>
            </w:pPr>
            <w:r>
              <w:t xml:space="preserve">Ensure your glassware is DRY before assembly and introducing </w:t>
            </w:r>
            <w:proofErr w:type="spellStart"/>
            <w:r>
              <w:t>pyrophorics</w:t>
            </w:r>
            <w:proofErr w:type="spellEnd"/>
            <w:r w:rsidR="00D01A7D">
              <w:t xml:space="preserve"> (e.g. dry glassware in oven)</w:t>
            </w:r>
            <w:r>
              <w:t xml:space="preserve">. </w:t>
            </w:r>
          </w:p>
          <w:p w14:paraId="60A4670F" w14:textId="77777777" w:rsidR="008650CF" w:rsidRDefault="008650CF" w:rsidP="008650CF">
            <w:pPr>
              <w:pStyle w:val="ListParagraph"/>
            </w:pPr>
          </w:p>
          <w:p w14:paraId="608EC83B" w14:textId="6F6E78B8" w:rsidR="008650CF" w:rsidRDefault="008650CF" w:rsidP="000633A1">
            <w:pPr>
              <w:pStyle w:val="ListParagraph"/>
              <w:numPr>
                <w:ilvl w:val="0"/>
                <w:numId w:val="7"/>
              </w:numPr>
              <w:autoSpaceDE w:val="0"/>
              <w:autoSpaceDN w:val="0"/>
              <w:adjustRightInd w:val="0"/>
              <w:ind w:left="226" w:hanging="270"/>
            </w:pPr>
            <w:r>
              <w:t>Clamp reagent bottle and receiving bottle to prevent them from moving.</w:t>
            </w:r>
          </w:p>
          <w:p w14:paraId="7E6A415A" w14:textId="77777777" w:rsidR="000633A1" w:rsidRDefault="000633A1" w:rsidP="000633A1">
            <w:pPr>
              <w:pStyle w:val="ListParagraph"/>
            </w:pPr>
          </w:p>
          <w:p w14:paraId="26F047D3" w14:textId="6A60904E" w:rsidR="000633A1" w:rsidRDefault="000633A1" w:rsidP="000633A1">
            <w:pPr>
              <w:pStyle w:val="ListParagraph"/>
              <w:numPr>
                <w:ilvl w:val="0"/>
                <w:numId w:val="7"/>
              </w:numPr>
              <w:autoSpaceDE w:val="0"/>
              <w:autoSpaceDN w:val="0"/>
              <w:adjustRightInd w:val="0"/>
              <w:ind w:left="226" w:hanging="270"/>
            </w:pPr>
            <w:r>
              <w:t>Thoroughly purge all air from the apparatus with the proper inert gas</w:t>
            </w:r>
            <w:r w:rsidR="007A30A7">
              <w:t xml:space="preserve"> (e.g</w:t>
            </w:r>
            <w:r>
              <w:t>.</w:t>
            </w:r>
            <w:r w:rsidR="007A30A7">
              <w:t xml:space="preserve"> argon)</w:t>
            </w:r>
          </w:p>
          <w:p w14:paraId="71C15824" w14:textId="77777777" w:rsidR="00327616" w:rsidRDefault="00327616" w:rsidP="00327616">
            <w:pPr>
              <w:pStyle w:val="ListParagraph"/>
            </w:pPr>
          </w:p>
          <w:p w14:paraId="301A0868" w14:textId="7183DEC6" w:rsidR="00327616" w:rsidRDefault="00327616" w:rsidP="000633A1">
            <w:pPr>
              <w:pStyle w:val="ListParagraph"/>
              <w:numPr>
                <w:ilvl w:val="0"/>
                <w:numId w:val="7"/>
              </w:numPr>
              <w:autoSpaceDE w:val="0"/>
              <w:autoSpaceDN w:val="0"/>
              <w:adjustRightInd w:val="0"/>
              <w:ind w:left="226" w:hanging="270"/>
            </w:pPr>
            <w:r>
              <w:t>Ensure syringe is dry and purged with inert gas before using. Never use a syringe at its maximum volume. Maximum withdrawal should be ½ to 2/3</w:t>
            </w:r>
            <w:r w:rsidRPr="00327616">
              <w:rPr>
                <w:vertAlign w:val="superscript"/>
              </w:rPr>
              <w:t>rd</w:t>
            </w:r>
            <w:r>
              <w:t xml:space="preserve"> of syringe capacity. Syringe plungers can quickly pop out near their maximum volume. </w:t>
            </w:r>
          </w:p>
          <w:p w14:paraId="6D898883" w14:textId="77777777" w:rsidR="00B6588A" w:rsidRDefault="00B6588A" w:rsidP="00B6588A">
            <w:pPr>
              <w:pStyle w:val="ListParagraph"/>
            </w:pPr>
          </w:p>
          <w:p w14:paraId="6B0658CC" w14:textId="28312522" w:rsidR="00B6588A" w:rsidRPr="00A026D3" w:rsidRDefault="00B6588A" w:rsidP="000633A1">
            <w:pPr>
              <w:pStyle w:val="ListParagraph"/>
              <w:numPr>
                <w:ilvl w:val="0"/>
                <w:numId w:val="7"/>
              </w:numPr>
              <w:autoSpaceDE w:val="0"/>
              <w:autoSpaceDN w:val="0"/>
              <w:adjustRightInd w:val="0"/>
              <w:ind w:left="226" w:hanging="270"/>
            </w:pPr>
            <w:r>
              <w:t xml:space="preserve">Syringe method should only be used for handling </w:t>
            </w:r>
            <w:r>
              <w:rPr>
                <w:rFonts w:cs="Arial"/>
              </w:rPr>
              <w:t>≤</w:t>
            </w:r>
            <w:r>
              <w:t>20 mL of pyrophoric liquid. To transfer more than 20 mL, use the cannula technique.</w:t>
            </w:r>
          </w:p>
          <w:p w14:paraId="7D040B0C" w14:textId="77777777" w:rsidR="00A026D3" w:rsidRDefault="00A026D3" w:rsidP="00A026D3">
            <w:pPr>
              <w:pStyle w:val="ListParagraph"/>
            </w:pPr>
          </w:p>
          <w:p w14:paraId="7852E0ED" w14:textId="0C452705" w:rsidR="0005173A" w:rsidRDefault="003E55BF" w:rsidP="00AB0102">
            <w:pPr>
              <w:pStyle w:val="ListParagraph"/>
              <w:numPr>
                <w:ilvl w:val="0"/>
                <w:numId w:val="7"/>
              </w:numPr>
              <w:autoSpaceDE w:val="0"/>
              <w:autoSpaceDN w:val="0"/>
              <w:adjustRightInd w:val="0"/>
              <w:ind w:left="226" w:hanging="270"/>
            </w:pPr>
            <w:r>
              <w:t xml:space="preserve">Standard dry powder (ABC) type fire extinguisher is recommended. </w:t>
            </w:r>
            <w:r w:rsidR="00AB0102">
              <w:t xml:space="preserve">Many pyrophoric chemicals cannot be extinguished using a carbon dioxide fire extinguisher. Sand </w:t>
            </w:r>
            <w:r w:rsidR="001A7426">
              <w:t xml:space="preserve">or soda ash (powdered lime) </w:t>
            </w:r>
            <w:r w:rsidR="00AB0102">
              <w:t xml:space="preserve">can be used to smother a fire involving pyrophoric chemicals. Keep a container of sand near the work area. </w:t>
            </w:r>
            <w:r w:rsidR="00164A19">
              <w:t>Ensure a Class D fire extinguisher is available where</w:t>
            </w:r>
            <w:r w:rsidR="008E1098">
              <w:t xml:space="preserve"> </w:t>
            </w:r>
            <w:r>
              <w:t xml:space="preserve">solid metallic </w:t>
            </w:r>
            <w:r w:rsidR="00AB4DBF">
              <w:t xml:space="preserve">pyrophoric </w:t>
            </w:r>
            <w:r w:rsidR="008E1098">
              <w:t xml:space="preserve">chemicals </w:t>
            </w:r>
            <w:r w:rsidR="00164A19">
              <w:t>are used or stored.</w:t>
            </w:r>
            <w:r w:rsidR="00C150D6">
              <w:t xml:space="preserve"> </w:t>
            </w:r>
            <w:r w:rsidR="00B34402">
              <w:t>For metalli</w:t>
            </w:r>
            <w:r w:rsidR="000F669B">
              <w:t>c</w:t>
            </w:r>
            <w:r w:rsidR="00B34402">
              <w:t xml:space="preserve"> </w:t>
            </w:r>
            <w:r w:rsidR="00AB4DBF">
              <w:t>pyrophoric</w:t>
            </w:r>
            <w:r w:rsidR="008E1098">
              <w:t xml:space="preserve"> chemicals</w:t>
            </w:r>
            <w:r w:rsidR="00B34402">
              <w:t xml:space="preserve">, do not use water, foam, or carbon dioxide as a fire suppressant. </w:t>
            </w:r>
          </w:p>
          <w:p w14:paraId="25B0EF8F" w14:textId="77777777" w:rsidR="00F667E1" w:rsidRDefault="00F667E1" w:rsidP="00F667E1">
            <w:pPr>
              <w:pStyle w:val="ListParagraph"/>
            </w:pPr>
          </w:p>
          <w:p w14:paraId="702A66A6" w14:textId="637420D0" w:rsidR="00F667E1" w:rsidRPr="00C87107" w:rsidRDefault="00F667E1" w:rsidP="00AB0102">
            <w:pPr>
              <w:pStyle w:val="ListParagraph"/>
              <w:numPr>
                <w:ilvl w:val="0"/>
                <w:numId w:val="7"/>
              </w:numPr>
              <w:autoSpaceDE w:val="0"/>
              <w:autoSpaceDN w:val="0"/>
              <w:adjustRightInd w:val="0"/>
              <w:ind w:left="226" w:hanging="270"/>
              <w:rPr>
                <w:rStyle w:val="markedcontent"/>
              </w:rPr>
            </w:pPr>
            <w:r>
              <w:rPr>
                <w:rStyle w:val="markedcontent"/>
                <w:rFonts w:cs="Arial"/>
              </w:rPr>
              <w:t xml:space="preserve">Pyrophoric gas releases and associated fires should be extinguished by remotely stopping the gas flow. </w:t>
            </w:r>
          </w:p>
          <w:p w14:paraId="37BE8E66" w14:textId="77777777" w:rsidR="00C87107" w:rsidRDefault="00C87107" w:rsidP="00C87107">
            <w:pPr>
              <w:pStyle w:val="ListParagraph"/>
            </w:pPr>
          </w:p>
          <w:p w14:paraId="791BBA14" w14:textId="45EC3441" w:rsidR="00C87107" w:rsidRDefault="00C87107" w:rsidP="00AB0102">
            <w:pPr>
              <w:pStyle w:val="ListParagraph"/>
              <w:numPr>
                <w:ilvl w:val="0"/>
                <w:numId w:val="7"/>
              </w:numPr>
              <w:autoSpaceDE w:val="0"/>
              <w:autoSpaceDN w:val="0"/>
              <w:adjustRightInd w:val="0"/>
              <w:ind w:left="226" w:hanging="270"/>
            </w:pPr>
            <w:r>
              <w:t>Pyrophoric chemicals can only be handled in fully-sprinklered buildings.</w:t>
            </w:r>
          </w:p>
          <w:p w14:paraId="0DF64994" w14:textId="77777777" w:rsidR="00164A19" w:rsidRDefault="00164A19" w:rsidP="00164A19">
            <w:pPr>
              <w:autoSpaceDE w:val="0"/>
              <w:autoSpaceDN w:val="0"/>
              <w:adjustRightInd w:val="0"/>
            </w:pPr>
          </w:p>
          <w:p w14:paraId="69A39B19" w14:textId="693BA50C" w:rsidR="00243AEC" w:rsidRPr="00B46839" w:rsidRDefault="00A026D3" w:rsidP="003A433C">
            <w:pPr>
              <w:pStyle w:val="ListParagraph"/>
              <w:numPr>
                <w:ilvl w:val="0"/>
                <w:numId w:val="7"/>
              </w:numPr>
              <w:autoSpaceDE w:val="0"/>
              <w:autoSpaceDN w:val="0"/>
              <w:adjustRightInd w:val="0"/>
              <w:ind w:left="226" w:hanging="270"/>
            </w:pPr>
            <w:r>
              <w:t xml:space="preserve">Personnel must store </w:t>
            </w:r>
            <w:r w:rsidR="00AB4DBF">
              <w:t>pyrophoric</w:t>
            </w:r>
            <w:r w:rsidR="008E1098">
              <w:t xml:space="preserve"> chemicals</w:t>
            </w:r>
            <w:r>
              <w:t xml:space="preserve"> in accordance with the International Fire Code (IFC). </w:t>
            </w:r>
            <w:r w:rsidR="00B77266">
              <w:t xml:space="preserve">Contact </w:t>
            </w:r>
            <w:r>
              <w:t>EH&amp;S</w:t>
            </w:r>
            <w:r w:rsidR="00B77266">
              <w:t xml:space="preserve"> with questions</w:t>
            </w:r>
            <w:r>
              <w:t xml:space="preserve"> (509-335-3041).</w:t>
            </w:r>
          </w:p>
          <w:p w14:paraId="6BD03210" w14:textId="7FEE3F15" w:rsidR="00B46839" w:rsidRDefault="00B46839" w:rsidP="006154CC">
            <w:pPr>
              <w:pStyle w:val="ListParagraph"/>
              <w:autoSpaceDE w:val="0"/>
              <w:autoSpaceDN w:val="0"/>
              <w:adjustRightInd w:val="0"/>
              <w:ind w:left="226"/>
            </w:pPr>
          </w:p>
          <w:p w14:paraId="71F6FB57" w14:textId="1831956D" w:rsidR="006154CC" w:rsidRPr="006154CC" w:rsidRDefault="006154CC" w:rsidP="006154CC">
            <w:pPr>
              <w:autoSpaceDE w:val="0"/>
              <w:autoSpaceDN w:val="0"/>
              <w:adjustRightInd w:val="0"/>
              <w:rPr>
                <w:b/>
                <w:bCs/>
                <w:color w:val="FF0000"/>
              </w:rPr>
            </w:pPr>
            <w:r w:rsidRPr="006154CC">
              <w:rPr>
                <w:b/>
                <w:bCs/>
                <w:color w:val="FF0000"/>
              </w:rPr>
              <w:t xml:space="preserve">Insert additional lab specific information on </w:t>
            </w:r>
            <w:r w:rsidR="00AB4DBF">
              <w:rPr>
                <w:b/>
                <w:bCs/>
                <w:color w:val="FF0000"/>
              </w:rPr>
              <w:t>pyrophoric</w:t>
            </w:r>
            <w:r w:rsidR="008E1098">
              <w:rPr>
                <w:b/>
                <w:bCs/>
                <w:color w:val="FF0000"/>
              </w:rPr>
              <w:t xml:space="preserve"> chemical</w:t>
            </w:r>
            <w:r w:rsidRPr="006154CC">
              <w:rPr>
                <w:b/>
                <w:bCs/>
                <w:color w:val="FF0000"/>
              </w:rPr>
              <w:t xml:space="preserve"> controls.</w:t>
            </w:r>
          </w:p>
          <w:p w14:paraId="760C0F74" w14:textId="77777777" w:rsidR="006A6643" w:rsidRDefault="006A6643" w:rsidP="00B46839"/>
        </w:tc>
      </w:tr>
    </w:tbl>
    <w:p w14:paraId="3C8F8363" w14:textId="77777777" w:rsidR="003E3CD1" w:rsidRDefault="003E3CD1">
      <w:pPr>
        <w:jc w:val="center"/>
      </w:pPr>
      <w:r>
        <w:lastRenderedPageBreak/>
        <w:tab/>
      </w:r>
      <w:r>
        <w:tab/>
      </w:r>
      <w:r>
        <w:tab/>
      </w:r>
      <w:r>
        <w:tab/>
      </w:r>
      <w:r>
        <w:tab/>
      </w:r>
      <w:r>
        <w:tab/>
      </w:r>
      <w:r>
        <w:tab/>
      </w:r>
    </w:p>
    <w:p w14:paraId="46EC79F7" w14:textId="459C66D3" w:rsidR="001D2DE0" w:rsidRDefault="001D2DE0" w:rsidP="00634829">
      <w:pPr>
        <w:spacing w:line="276" w:lineRule="auto"/>
        <w:rPr>
          <w:rFonts w:eastAsia="Calibri" w:cs="Arial"/>
          <w:bCs/>
          <w:sz w:val="36"/>
          <w:szCs w:val="36"/>
        </w:rPr>
      </w:pPr>
    </w:p>
    <w:p w14:paraId="1C217C4E" w14:textId="4BAA7309" w:rsidR="00721026" w:rsidRDefault="00721026" w:rsidP="00634829">
      <w:pPr>
        <w:spacing w:line="276" w:lineRule="auto"/>
        <w:rPr>
          <w:rFonts w:eastAsia="Calibri" w:cs="Arial"/>
          <w:bCs/>
          <w:sz w:val="36"/>
          <w:szCs w:val="36"/>
        </w:rPr>
      </w:pPr>
    </w:p>
    <w:p w14:paraId="0CCF75B3" w14:textId="77777777" w:rsidR="00721026" w:rsidRDefault="00721026" w:rsidP="00634829">
      <w:pPr>
        <w:spacing w:line="276" w:lineRule="auto"/>
        <w:rPr>
          <w:rFonts w:eastAsia="Calibri" w:cs="Arial"/>
          <w:bCs/>
          <w:sz w:val="36"/>
          <w:szCs w:val="36"/>
        </w:rPr>
      </w:pPr>
    </w:p>
    <w:p w14:paraId="5EEC16F8" w14:textId="4E9E2909" w:rsidR="00366C3C" w:rsidRPr="008A6161" w:rsidRDefault="00366C3C" w:rsidP="008A6161">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0E8AC235" w14:textId="74928FA6" w:rsidR="00942E96" w:rsidRPr="00942E96" w:rsidRDefault="00942E96" w:rsidP="00942E96">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AB4DBF">
        <w:rPr>
          <w:rFonts w:eastAsia="Calibri" w:cs="Arial"/>
          <w:bCs/>
        </w:rPr>
        <w:t xml:space="preserve">Pyrophoric </w:t>
      </w:r>
      <w:r w:rsidR="00DB5975">
        <w:rPr>
          <w:rFonts w:eastAsia="Calibri" w:cs="Arial"/>
          <w:bCs/>
        </w:rPr>
        <w:t>Chemicals</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942E96" w:rsidRPr="00942E96" w14:paraId="2F91C275" w14:textId="77777777" w:rsidTr="00DE4BE4">
        <w:trPr>
          <w:trHeight w:hRule="exact" w:val="720"/>
        </w:trPr>
        <w:tc>
          <w:tcPr>
            <w:tcW w:w="3912" w:type="dxa"/>
            <w:shd w:val="clear" w:color="auto" w:fill="D5DCE4" w:themeFill="text2" w:themeFillTint="33"/>
            <w:vAlign w:val="center"/>
          </w:tcPr>
          <w:p w14:paraId="596D0275" w14:textId="106EE902"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460422DD" w14:textId="18DDDD5A"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27BA4264"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rsidRPr="00366C3C" w14:paraId="07069A48" w14:textId="77777777" w:rsidTr="00DE4BE4">
        <w:trPr>
          <w:trHeight w:hRule="exact" w:val="720"/>
        </w:trPr>
        <w:tc>
          <w:tcPr>
            <w:tcW w:w="3912" w:type="dxa"/>
            <w:vAlign w:val="center"/>
          </w:tcPr>
          <w:p w14:paraId="05DDCAF7" w14:textId="77777777" w:rsidR="00942E96" w:rsidRPr="00366C3C" w:rsidRDefault="00942E96" w:rsidP="00DE4BE4">
            <w:pPr>
              <w:spacing w:line="276" w:lineRule="auto"/>
              <w:rPr>
                <w:rFonts w:eastAsia="Calibri" w:cs="Arial"/>
                <w:bCs/>
                <w:sz w:val="28"/>
                <w:szCs w:val="28"/>
              </w:rPr>
            </w:pPr>
          </w:p>
        </w:tc>
        <w:tc>
          <w:tcPr>
            <w:tcW w:w="3913" w:type="dxa"/>
            <w:vAlign w:val="center"/>
          </w:tcPr>
          <w:p w14:paraId="28C00BA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A8B8F55" w14:textId="77777777" w:rsidR="00942E96" w:rsidRPr="00366C3C" w:rsidRDefault="00942E96" w:rsidP="00DE4BE4">
            <w:pPr>
              <w:spacing w:line="276" w:lineRule="auto"/>
              <w:jc w:val="center"/>
              <w:rPr>
                <w:rFonts w:eastAsia="Calibri" w:cs="Arial"/>
                <w:bCs/>
                <w:sz w:val="28"/>
                <w:szCs w:val="28"/>
              </w:rPr>
            </w:pPr>
          </w:p>
        </w:tc>
      </w:tr>
    </w:tbl>
    <w:p w14:paraId="3D47E102" w14:textId="77777777" w:rsidR="00C8001A" w:rsidRDefault="00C8001A" w:rsidP="006A6643">
      <w:pPr>
        <w:spacing w:after="200" w:line="276" w:lineRule="auto"/>
        <w:jc w:val="center"/>
        <w:rPr>
          <w:rFonts w:ascii="Times New Roman" w:eastAsia="Calibri" w:hAnsi="Times New Roman"/>
          <w:b/>
          <w:sz w:val="28"/>
          <w:szCs w:val="28"/>
        </w:rPr>
      </w:pPr>
    </w:p>
    <w:p w14:paraId="73C82AF5" w14:textId="77777777" w:rsidR="00942E96" w:rsidRPr="00942E96" w:rsidRDefault="00942E96" w:rsidP="00942E96">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942E96" w14:paraId="1DE01C4F" w14:textId="77777777" w:rsidTr="00DE4BE4">
        <w:trPr>
          <w:trHeight w:hRule="exact" w:val="720"/>
        </w:trPr>
        <w:tc>
          <w:tcPr>
            <w:tcW w:w="3912" w:type="dxa"/>
            <w:shd w:val="clear" w:color="auto" w:fill="D5DCE4" w:themeFill="text2" w:themeFillTint="33"/>
            <w:vAlign w:val="center"/>
          </w:tcPr>
          <w:p w14:paraId="6124E58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5F8539F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150C8F3F"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14:paraId="354552FA" w14:textId="77777777" w:rsidTr="00DE4BE4">
        <w:trPr>
          <w:trHeight w:hRule="exact" w:val="720"/>
        </w:trPr>
        <w:tc>
          <w:tcPr>
            <w:tcW w:w="3912" w:type="dxa"/>
            <w:vAlign w:val="center"/>
          </w:tcPr>
          <w:p w14:paraId="39AAD3EC" w14:textId="77777777" w:rsidR="00942E96" w:rsidRPr="00366C3C" w:rsidRDefault="00942E96" w:rsidP="00DE4BE4">
            <w:pPr>
              <w:spacing w:line="276" w:lineRule="auto"/>
              <w:rPr>
                <w:rFonts w:eastAsia="Calibri" w:cs="Arial"/>
                <w:bCs/>
                <w:sz w:val="28"/>
                <w:szCs w:val="28"/>
              </w:rPr>
            </w:pPr>
          </w:p>
        </w:tc>
        <w:tc>
          <w:tcPr>
            <w:tcW w:w="3913" w:type="dxa"/>
            <w:vAlign w:val="center"/>
          </w:tcPr>
          <w:p w14:paraId="6990DAAD"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752205CC" w14:textId="77777777" w:rsidR="00942E96" w:rsidRPr="00366C3C" w:rsidRDefault="00942E96" w:rsidP="00DE4BE4">
            <w:pPr>
              <w:spacing w:line="276" w:lineRule="auto"/>
              <w:jc w:val="center"/>
              <w:rPr>
                <w:rFonts w:eastAsia="Calibri" w:cs="Arial"/>
                <w:bCs/>
                <w:sz w:val="28"/>
                <w:szCs w:val="28"/>
              </w:rPr>
            </w:pPr>
          </w:p>
        </w:tc>
      </w:tr>
      <w:tr w:rsidR="00942E96" w14:paraId="79447CC5" w14:textId="77777777" w:rsidTr="00DE4BE4">
        <w:trPr>
          <w:trHeight w:hRule="exact" w:val="720"/>
        </w:trPr>
        <w:tc>
          <w:tcPr>
            <w:tcW w:w="3912" w:type="dxa"/>
            <w:vAlign w:val="center"/>
          </w:tcPr>
          <w:p w14:paraId="3F8D220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245E4A6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058C9D9" w14:textId="77777777" w:rsidR="00942E96" w:rsidRPr="00366C3C" w:rsidRDefault="00942E96" w:rsidP="00DE4BE4">
            <w:pPr>
              <w:spacing w:line="276" w:lineRule="auto"/>
              <w:jc w:val="center"/>
              <w:rPr>
                <w:rFonts w:eastAsia="Calibri" w:cs="Arial"/>
                <w:bCs/>
                <w:sz w:val="28"/>
                <w:szCs w:val="28"/>
              </w:rPr>
            </w:pPr>
          </w:p>
        </w:tc>
      </w:tr>
      <w:tr w:rsidR="00942E96" w14:paraId="2B8420A0" w14:textId="77777777" w:rsidTr="00DE4BE4">
        <w:trPr>
          <w:trHeight w:hRule="exact" w:val="720"/>
        </w:trPr>
        <w:tc>
          <w:tcPr>
            <w:tcW w:w="3912" w:type="dxa"/>
            <w:vAlign w:val="center"/>
          </w:tcPr>
          <w:p w14:paraId="537383D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55C5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A0561C2" w14:textId="77777777" w:rsidR="00942E96" w:rsidRPr="00366C3C" w:rsidRDefault="00942E96" w:rsidP="00DE4BE4">
            <w:pPr>
              <w:spacing w:line="276" w:lineRule="auto"/>
              <w:jc w:val="center"/>
              <w:rPr>
                <w:rFonts w:eastAsia="Calibri" w:cs="Arial"/>
                <w:bCs/>
                <w:sz w:val="28"/>
                <w:szCs w:val="28"/>
              </w:rPr>
            </w:pPr>
          </w:p>
        </w:tc>
      </w:tr>
      <w:tr w:rsidR="00942E96" w14:paraId="3D980A06" w14:textId="77777777" w:rsidTr="00DE4BE4">
        <w:trPr>
          <w:trHeight w:hRule="exact" w:val="720"/>
        </w:trPr>
        <w:tc>
          <w:tcPr>
            <w:tcW w:w="3912" w:type="dxa"/>
            <w:vAlign w:val="center"/>
          </w:tcPr>
          <w:p w14:paraId="06E4691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3A0CF29"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B37FAA9" w14:textId="77777777" w:rsidR="00942E96" w:rsidRPr="00366C3C" w:rsidRDefault="00942E96" w:rsidP="00DE4BE4">
            <w:pPr>
              <w:spacing w:line="276" w:lineRule="auto"/>
              <w:jc w:val="center"/>
              <w:rPr>
                <w:rFonts w:eastAsia="Calibri" w:cs="Arial"/>
                <w:bCs/>
                <w:sz w:val="28"/>
                <w:szCs w:val="28"/>
              </w:rPr>
            </w:pPr>
          </w:p>
        </w:tc>
      </w:tr>
      <w:tr w:rsidR="00942E96" w14:paraId="7115F7D1" w14:textId="77777777" w:rsidTr="00DE4BE4">
        <w:trPr>
          <w:trHeight w:hRule="exact" w:val="720"/>
        </w:trPr>
        <w:tc>
          <w:tcPr>
            <w:tcW w:w="3912" w:type="dxa"/>
            <w:vAlign w:val="center"/>
          </w:tcPr>
          <w:p w14:paraId="0CC55FD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AFACF3E"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ED34F8" w14:textId="77777777" w:rsidR="00942E96" w:rsidRPr="00366C3C" w:rsidRDefault="00942E96" w:rsidP="00DE4BE4">
            <w:pPr>
              <w:spacing w:line="276" w:lineRule="auto"/>
              <w:jc w:val="center"/>
              <w:rPr>
                <w:rFonts w:eastAsia="Calibri" w:cs="Arial"/>
                <w:bCs/>
                <w:sz w:val="28"/>
                <w:szCs w:val="28"/>
              </w:rPr>
            </w:pPr>
          </w:p>
        </w:tc>
      </w:tr>
      <w:tr w:rsidR="00942E96" w14:paraId="7AA9DFB2" w14:textId="77777777" w:rsidTr="00DE4BE4">
        <w:trPr>
          <w:trHeight w:hRule="exact" w:val="720"/>
        </w:trPr>
        <w:tc>
          <w:tcPr>
            <w:tcW w:w="3912" w:type="dxa"/>
            <w:vAlign w:val="center"/>
          </w:tcPr>
          <w:p w14:paraId="72D0F214"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54E3CB7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202A612" w14:textId="77777777" w:rsidR="00942E96" w:rsidRPr="00366C3C" w:rsidRDefault="00942E96" w:rsidP="00DE4BE4">
            <w:pPr>
              <w:spacing w:line="276" w:lineRule="auto"/>
              <w:jc w:val="center"/>
              <w:rPr>
                <w:rFonts w:eastAsia="Calibri" w:cs="Arial"/>
                <w:bCs/>
                <w:sz w:val="28"/>
                <w:szCs w:val="28"/>
              </w:rPr>
            </w:pPr>
          </w:p>
        </w:tc>
      </w:tr>
      <w:tr w:rsidR="00942E96" w14:paraId="755EC3FA" w14:textId="77777777" w:rsidTr="00DE4BE4">
        <w:trPr>
          <w:trHeight w:hRule="exact" w:val="720"/>
        </w:trPr>
        <w:tc>
          <w:tcPr>
            <w:tcW w:w="3912" w:type="dxa"/>
            <w:vAlign w:val="center"/>
          </w:tcPr>
          <w:p w14:paraId="61F7A3B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7450FE5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23A65C3" w14:textId="77777777" w:rsidR="00942E96" w:rsidRPr="00366C3C" w:rsidRDefault="00942E96" w:rsidP="00DE4BE4">
            <w:pPr>
              <w:spacing w:line="276" w:lineRule="auto"/>
              <w:jc w:val="center"/>
              <w:rPr>
                <w:rFonts w:eastAsia="Calibri" w:cs="Arial"/>
                <w:bCs/>
                <w:sz w:val="28"/>
                <w:szCs w:val="28"/>
              </w:rPr>
            </w:pPr>
          </w:p>
        </w:tc>
      </w:tr>
      <w:tr w:rsidR="00942E96" w14:paraId="273D4303" w14:textId="77777777" w:rsidTr="00DE4BE4">
        <w:trPr>
          <w:trHeight w:hRule="exact" w:val="720"/>
        </w:trPr>
        <w:tc>
          <w:tcPr>
            <w:tcW w:w="3912" w:type="dxa"/>
            <w:vAlign w:val="center"/>
          </w:tcPr>
          <w:p w14:paraId="4F913B5D"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F4E3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787FE8E" w14:textId="77777777" w:rsidR="00942E96" w:rsidRPr="00366C3C" w:rsidRDefault="00942E96" w:rsidP="00DE4BE4">
            <w:pPr>
              <w:spacing w:line="276" w:lineRule="auto"/>
              <w:jc w:val="center"/>
              <w:rPr>
                <w:rFonts w:eastAsia="Calibri" w:cs="Arial"/>
                <w:bCs/>
                <w:sz w:val="28"/>
                <w:szCs w:val="28"/>
              </w:rPr>
            </w:pPr>
          </w:p>
        </w:tc>
      </w:tr>
      <w:tr w:rsidR="00942E96" w14:paraId="24DC9C4D" w14:textId="77777777" w:rsidTr="00DE4BE4">
        <w:trPr>
          <w:trHeight w:hRule="exact" w:val="720"/>
        </w:trPr>
        <w:tc>
          <w:tcPr>
            <w:tcW w:w="3912" w:type="dxa"/>
            <w:vAlign w:val="center"/>
          </w:tcPr>
          <w:p w14:paraId="7440911E"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0C3397"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B242643" w14:textId="77777777" w:rsidR="00942E96" w:rsidRPr="00366C3C" w:rsidRDefault="00942E96" w:rsidP="00DE4BE4">
            <w:pPr>
              <w:spacing w:line="276" w:lineRule="auto"/>
              <w:jc w:val="center"/>
              <w:rPr>
                <w:rFonts w:eastAsia="Calibri" w:cs="Arial"/>
                <w:bCs/>
                <w:sz w:val="28"/>
                <w:szCs w:val="28"/>
              </w:rPr>
            </w:pPr>
          </w:p>
        </w:tc>
      </w:tr>
      <w:tr w:rsidR="00942E96" w14:paraId="217CA082" w14:textId="77777777" w:rsidTr="00DE4BE4">
        <w:trPr>
          <w:trHeight w:hRule="exact" w:val="720"/>
        </w:trPr>
        <w:tc>
          <w:tcPr>
            <w:tcW w:w="3912" w:type="dxa"/>
            <w:vAlign w:val="center"/>
          </w:tcPr>
          <w:p w14:paraId="3E65062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44A9A0EB"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A8F2B4B" w14:textId="77777777" w:rsidR="00942E96" w:rsidRPr="00366C3C" w:rsidRDefault="00942E96" w:rsidP="00DE4BE4">
            <w:pPr>
              <w:spacing w:line="276" w:lineRule="auto"/>
              <w:jc w:val="center"/>
              <w:rPr>
                <w:rFonts w:eastAsia="Calibri" w:cs="Arial"/>
                <w:bCs/>
                <w:sz w:val="28"/>
                <w:szCs w:val="28"/>
              </w:rPr>
            </w:pPr>
          </w:p>
        </w:tc>
      </w:tr>
      <w:tr w:rsidR="00942E96" w14:paraId="0D358664" w14:textId="77777777" w:rsidTr="00DE4BE4">
        <w:trPr>
          <w:trHeight w:hRule="exact" w:val="720"/>
        </w:trPr>
        <w:tc>
          <w:tcPr>
            <w:tcW w:w="3912" w:type="dxa"/>
            <w:vAlign w:val="center"/>
          </w:tcPr>
          <w:p w14:paraId="452660E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60A1A2"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25BFA2" w14:textId="77777777" w:rsidR="00942E96" w:rsidRPr="00366C3C" w:rsidRDefault="00942E96" w:rsidP="00DE4BE4">
            <w:pPr>
              <w:spacing w:line="276" w:lineRule="auto"/>
              <w:jc w:val="center"/>
              <w:rPr>
                <w:rFonts w:eastAsia="Calibri" w:cs="Arial"/>
                <w:bCs/>
                <w:sz w:val="28"/>
                <w:szCs w:val="28"/>
              </w:rPr>
            </w:pPr>
          </w:p>
        </w:tc>
      </w:tr>
      <w:tr w:rsidR="00942E96" w14:paraId="463F527C" w14:textId="77777777" w:rsidTr="00DE4BE4">
        <w:trPr>
          <w:trHeight w:hRule="exact" w:val="720"/>
        </w:trPr>
        <w:tc>
          <w:tcPr>
            <w:tcW w:w="3912" w:type="dxa"/>
            <w:vAlign w:val="center"/>
          </w:tcPr>
          <w:p w14:paraId="59716A5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F0883E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4B95D5C" w14:textId="77777777" w:rsidR="00942E96" w:rsidRPr="00366C3C" w:rsidRDefault="00942E96" w:rsidP="00DE4BE4">
            <w:pPr>
              <w:spacing w:line="276" w:lineRule="auto"/>
              <w:jc w:val="center"/>
              <w:rPr>
                <w:rFonts w:eastAsia="Calibri" w:cs="Arial"/>
                <w:bCs/>
                <w:sz w:val="28"/>
                <w:szCs w:val="28"/>
              </w:rPr>
            </w:pPr>
          </w:p>
        </w:tc>
      </w:tr>
    </w:tbl>
    <w:p w14:paraId="0447894F" w14:textId="77777777" w:rsidR="003E3CD1" w:rsidRDefault="003E3CD1"/>
    <w:sectPr w:rsidR="003E3CD1" w:rsidSect="00153467">
      <w:footerReference w:type="default" r:id="rId19"/>
      <w:pgSz w:w="12240" w:h="15840"/>
      <w:pgMar w:top="630" w:right="1152" w:bottom="864" w:left="144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24615" w14:textId="77777777" w:rsidR="0003764C" w:rsidRDefault="0003764C" w:rsidP="00153467">
      <w:r>
        <w:separator/>
      </w:r>
    </w:p>
  </w:endnote>
  <w:endnote w:type="continuationSeparator" w:id="0">
    <w:p w14:paraId="6CB2C6EA" w14:textId="77777777" w:rsidR="0003764C" w:rsidRDefault="0003764C" w:rsidP="0015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595075"/>
      <w:docPartObj>
        <w:docPartGallery w:val="Page Numbers (Bottom of Page)"/>
        <w:docPartUnique/>
      </w:docPartObj>
    </w:sdtPr>
    <w:sdtEndPr>
      <w:rPr>
        <w:noProof/>
      </w:rPr>
    </w:sdtEndPr>
    <w:sdtContent>
      <w:p w14:paraId="1A48A779" w14:textId="61129794" w:rsidR="008A6161" w:rsidRDefault="008A61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33FDA" w14:textId="3437769B" w:rsidR="00153467" w:rsidRDefault="00153467" w:rsidP="001534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C182B" w14:textId="77777777" w:rsidR="0003764C" w:rsidRDefault="0003764C" w:rsidP="00153467">
      <w:r>
        <w:separator/>
      </w:r>
    </w:p>
  </w:footnote>
  <w:footnote w:type="continuationSeparator" w:id="0">
    <w:p w14:paraId="5EE25E69" w14:textId="77777777" w:rsidR="0003764C" w:rsidRDefault="0003764C" w:rsidP="00153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A48A8"/>
    <w:multiLevelType w:val="hybridMultilevel"/>
    <w:tmpl w:val="2794B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B283D"/>
    <w:multiLevelType w:val="hybridMultilevel"/>
    <w:tmpl w:val="C28C2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1B6B9E"/>
    <w:multiLevelType w:val="hybridMultilevel"/>
    <w:tmpl w:val="D14270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8"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1C5AEF"/>
    <w:multiLevelType w:val="hybridMultilevel"/>
    <w:tmpl w:val="9392E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11"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0532851">
    <w:abstractNumId w:val="10"/>
  </w:num>
  <w:num w:numId="2" w16cid:durableId="622421050">
    <w:abstractNumId w:val="3"/>
  </w:num>
  <w:num w:numId="3" w16cid:durableId="1593699">
    <w:abstractNumId w:val="7"/>
  </w:num>
  <w:num w:numId="4" w16cid:durableId="693503436">
    <w:abstractNumId w:val="0"/>
  </w:num>
  <w:num w:numId="5" w16cid:durableId="1567955427">
    <w:abstractNumId w:val="8"/>
  </w:num>
  <w:num w:numId="6" w16cid:durableId="1283462593">
    <w:abstractNumId w:val="11"/>
  </w:num>
  <w:num w:numId="7" w16cid:durableId="1999141896">
    <w:abstractNumId w:val="1"/>
  </w:num>
  <w:num w:numId="8" w16cid:durableId="494345098">
    <w:abstractNumId w:val="9"/>
  </w:num>
  <w:num w:numId="9" w16cid:durableId="168106502">
    <w:abstractNumId w:val="2"/>
  </w:num>
  <w:num w:numId="10" w16cid:durableId="807818126">
    <w:abstractNumId w:val="4"/>
  </w:num>
  <w:num w:numId="11" w16cid:durableId="250091092">
    <w:abstractNumId w:val="5"/>
  </w:num>
  <w:num w:numId="12" w16cid:durableId="736901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02C13"/>
    <w:rsid w:val="000053C6"/>
    <w:rsid w:val="00016329"/>
    <w:rsid w:val="000172D9"/>
    <w:rsid w:val="0002180A"/>
    <w:rsid w:val="0003259B"/>
    <w:rsid w:val="00032ED8"/>
    <w:rsid w:val="0003764C"/>
    <w:rsid w:val="000462C3"/>
    <w:rsid w:val="00046BC1"/>
    <w:rsid w:val="000514DD"/>
    <w:rsid w:val="0005173A"/>
    <w:rsid w:val="00054688"/>
    <w:rsid w:val="00061986"/>
    <w:rsid w:val="000633A1"/>
    <w:rsid w:val="000633CF"/>
    <w:rsid w:val="00067044"/>
    <w:rsid w:val="00071EDE"/>
    <w:rsid w:val="00071F4E"/>
    <w:rsid w:val="00077942"/>
    <w:rsid w:val="00081784"/>
    <w:rsid w:val="00086E24"/>
    <w:rsid w:val="00091169"/>
    <w:rsid w:val="000A4E7C"/>
    <w:rsid w:val="000B2958"/>
    <w:rsid w:val="000B74A6"/>
    <w:rsid w:val="000D1572"/>
    <w:rsid w:val="000D43C6"/>
    <w:rsid w:val="000D6C72"/>
    <w:rsid w:val="000D78C8"/>
    <w:rsid w:val="000E4E98"/>
    <w:rsid w:val="000E5D5B"/>
    <w:rsid w:val="000E69B4"/>
    <w:rsid w:val="000F507D"/>
    <w:rsid w:val="000F669B"/>
    <w:rsid w:val="0010262E"/>
    <w:rsid w:val="00104420"/>
    <w:rsid w:val="0010513F"/>
    <w:rsid w:val="001058D1"/>
    <w:rsid w:val="00106834"/>
    <w:rsid w:val="001068AA"/>
    <w:rsid w:val="0011111F"/>
    <w:rsid w:val="00116B88"/>
    <w:rsid w:val="00121612"/>
    <w:rsid w:val="00125B3A"/>
    <w:rsid w:val="001260AD"/>
    <w:rsid w:val="00136072"/>
    <w:rsid w:val="001365FF"/>
    <w:rsid w:val="001408D6"/>
    <w:rsid w:val="00146F06"/>
    <w:rsid w:val="00150DEA"/>
    <w:rsid w:val="00151226"/>
    <w:rsid w:val="00153467"/>
    <w:rsid w:val="00154B46"/>
    <w:rsid w:val="00164A19"/>
    <w:rsid w:val="00180D33"/>
    <w:rsid w:val="001819D7"/>
    <w:rsid w:val="00182110"/>
    <w:rsid w:val="001909B4"/>
    <w:rsid w:val="001A5F5C"/>
    <w:rsid w:val="001A7426"/>
    <w:rsid w:val="001B0B55"/>
    <w:rsid w:val="001B4386"/>
    <w:rsid w:val="001C3710"/>
    <w:rsid w:val="001C6BAF"/>
    <w:rsid w:val="001D2DE0"/>
    <w:rsid w:val="001D30A8"/>
    <w:rsid w:val="001D4676"/>
    <w:rsid w:val="001D4B3B"/>
    <w:rsid w:val="001D57CC"/>
    <w:rsid w:val="001D65E2"/>
    <w:rsid w:val="001E031E"/>
    <w:rsid w:val="001E14BA"/>
    <w:rsid w:val="001E19F0"/>
    <w:rsid w:val="001E1A3D"/>
    <w:rsid w:val="001E2DDA"/>
    <w:rsid w:val="001E75A8"/>
    <w:rsid w:val="001F0DBA"/>
    <w:rsid w:val="001F3BF8"/>
    <w:rsid w:val="001F7DAA"/>
    <w:rsid w:val="00202299"/>
    <w:rsid w:val="00202743"/>
    <w:rsid w:val="0020442F"/>
    <w:rsid w:val="0020494A"/>
    <w:rsid w:val="00206718"/>
    <w:rsid w:val="002163A2"/>
    <w:rsid w:val="00224A10"/>
    <w:rsid w:val="00232C35"/>
    <w:rsid w:val="00233751"/>
    <w:rsid w:val="002370F8"/>
    <w:rsid w:val="00242A71"/>
    <w:rsid w:val="00242CFF"/>
    <w:rsid w:val="00243AEC"/>
    <w:rsid w:val="00245EC4"/>
    <w:rsid w:val="00252222"/>
    <w:rsid w:val="002577C7"/>
    <w:rsid w:val="00260016"/>
    <w:rsid w:val="00264CF3"/>
    <w:rsid w:val="00266F7A"/>
    <w:rsid w:val="0027022C"/>
    <w:rsid w:val="00274011"/>
    <w:rsid w:val="00276F49"/>
    <w:rsid w:val="00280221"/>
    <w:rsid w:val="0028038A"/>
    <w:rsid w:val="00285994"/>
    <w:rsid w:val="0029552A"/>
    <w:rsid w:val="00297DFD"/>
    <w:rsid w:val="002A00F3"/>
    <w:rsid w:val="002A139F"/>
    <w:rsid w:val="002A2D55"/>
    <w:rsid w:val="002A40A8"/>
    <w:rsid w:val="002A6515"/>
    <w:rsid w:val="002A6E1E"/>
    <w:rsid w:val="002B08F0"/>
    <w:rsid w:val="002B1247"/>
    <w:rsid w:val="002B1485"/>
    <w:rsid w:val="002C07BF"/>
    <w:rsid w:val="002C246E"/>
    <w:rsid w:val="002C2B30"/>
    <w:rsid w:val="002C4B5F"/>
    <w:rsid w:val="002D58BE"/>
    <w:rsid w:val="002D6682"/>
    <w:rsid w:val="002D721F"/>
    <w:rsid w:val="002E1316"/>
    <w:rsid w:val="002E6BFF"/>
    <w:rsid w:val="002E71DC"/>
    <w:rsid w:val="002F0AAD"/>
    <w:rsid w:val="002F629E"/>
    <w:rsid w:val="003032A3"/>
    <w:rsid w:val="00321D41"/>
    <w:rsid w:val="00327616"/>
    <w:rsid w:val="00332675"/>
    <w:rsid w:val="0033274D"/>
    <w:rsid w:val="003412F5"/>
    <w:rsid w:val="003442E3"/>
    <w:rsid w:val="003525D8"/>
    <w:rsid w:val="00353907"/>
    <w:rsid w:val="003578B5"/>
    <w:rsid w:val="00360045"/>
    <w:rsid w:val="0036372E"/>
    <w:rsid w:val="0036539A"/>
    <w:rsid w:val="00366C3C"/>
    <w:rsid w:val="00375369"/>
    <w:rsid w:val="00382BFF"/>
    <w:rsid w:val="00384764"/>
    <w:rsid w:val="00387452"/>
    <w:rsid w:val="00393B2F"/>
    <w:rsid w:val="00395298"/>
    <w:rsid w:val="003A0947"/>
    <w:rsid w:val="003A1E81"/>
    <w:rsid w:val="003A433C"/>
    <w:rsid w:val="003A500B"/>
    <w:rsid w:val="003A6CBB"/>
    <w:rsid w:val="003A7DB7"/>
    <w:rsid w:val="003B2835"/>
    <w:rsid w:val="003B4598"/>
    <w:rsid w:val="003C2888"/>
    <w:rsid w:val="003C5F0E"/>
    <w:rsid w:val="003E3494"/>
    <w:rsid w:val="003E3CD1"/>
    <w:rsid w:val="003E4E1D"/>
    <w:rsid w:val="003E55BF"/>
    <w:rsid w:val="003E5E16"/>
    <w:rsid w:val="003E75B1"/>
    <w:rsid w:val="003F0BA3"/>
    <w:rsid w:val="00405284"/>
    <w:rsid w:val="0041019F"/>
    <w:rsid w:val="004138BC"/>
    <w:rsid w:val="00414665"/>
    <w:rsid w:val="004164E7"/>
    <w:rsid w:val="00420B19"/>
    <w:rsid w:val="00436D33"/>
    <w:rsid w:val="00441653"/>
    <w:rsid w:val="004423A5"/>
    <w:rsid w:val="00452DFE"/>
    <w:rsid w:val="00461656"/>
    <w:rsid w:val="0046453E"/>
    <w:rsid w:val="00465671"/>
    <w:rsid w:val="00467E2C"/>
    <w:rsid w:val="0047468A"/>
    <w:rsid w:val="004815AC"/>
    <w:rsid w:val="00484731"/>
    <w:rsid w:val="0048601B"/>
    <w:rsid w:val="0049004C"/>
    <w:rsid w:val="00493338"/>
    <w:rsid w:val="00497CB9"/>
    <w:rsid w:val="004A58A3"/>
    <w:rsid w:val="004B23FC"/>
    <w:rsid w:val="004B449D"/>
    <w:rsid w:val="004B5602"/>
    <w:rsid w:val="004C2E24"/>
    <w:rsid w:val="004C4872"/>
    <w:rsid w:val="004D0B4A"/>
    <w:rsid w:val="004E7160"/>
    <w:rsid w:val="004E77DA"/>
    <w:rsid w:val="00524393"/>
    <w:rsid w:val="00526230"/>
    <w:rsid w:val="00526F6C"/>
    <w:rsid w:val="00536739"/>
    <w:rsid w:val="00540435"/>
    <w:rsid w:val="0055639F"/>
    <w:rsid w:val="005619D1"/>
    <w:rsid w:val="00563D81"/>
    <w:rsid w:val="00564D04"/>
    <w:rsid w:val="00572BC0"/>
    <w:rsid w:val="00581805"/>
    <w:rsid w:val="00583A52"/>
    <w:rsid w:val="00592362"/>
    <w:rsid w:val="00593495"/>
    <w:rsid w:val="0059495A"/>
    <w:rsid w:val="00594C6D"/>
    <w:rsid w:val="00597480"/>
    <w:rsid w:val="005A1742"/>
    <w:rsid w:val="005A5580"/>
    <w:rsid w:val="005B3AE6"/>
    <w:rsid w:val="005B3FB6"/>
    <w:rsid w:val="005B4E5C"/>
    <w:rsid w:val="005B6EB9"/>
    <w:rsid w:val="005C083E"/>
    <w:rsid w:val="005C43CC"/>
    <w:rsid w:val="005C4CDC"/>
    <w:rsid w:val="005C6B2A"/>
    <w:rsid w:val="005D498F"/>
    <w:rsid w:val="005E1421"/>
    <w:rsid w:val="005F68FF"/>
    <w:rsid w:val="005F7197"/>
    <w:rsid w:val="00603A0B"/>
    <w:rsid w:val="00610F03"/>
    <w:rsid w:val="006154CC"/>
    <w:rsid w:val="0061681C"/>
    <w:rsid w:val="00617024"/>
    <w:rsid w:val="00620FE6"/>
    <w:rsid w:val="006339EE"/>
    <w:rsid w:val="00634829"/>
    <w:rsid w:val="006350A4"/>
    <w:rsid w:val="00646AE5"/>
    <w:rsid w:val="006542AB"/>
    <w:rsid w:val="0066067F"/>
    <w:rsid w:val="00671F68"/>
    <w:rsid w:val="00680315"/>
    <w:rsid w:val="00682AF4"/>
    <w:rsid w:val="00683040"/>
    <w:rsid w:val="00683E63"/>
    <w:rsid w:val="00687B52"/>
    <w:rsid w:val="006914B9"/>
    <w:rsid w:val="00692376"/>
    <w:rsid w:val="0069320B"/>
    <w:rsid w:val="006A0EFC"/>
    <w:rsid w:val="006A1B07"/>
    <w:rsid w:val="006A277D"/>
    <w:rsid w:val="006A6643"/>
    <w:rsid w:val="006B4F84"/>
    <w:rsid w:val="006B5785"/>
    <w:rsid w:val="006B69C4"/>
    <w:rsid w:val="006D349F"/>
    <w:rsid w:val="006E06A0"/>
    <w:rsid w:val="006E58EF"/>
    <w:rsid w:val="006F527A"/>
    <w:rsid w:val="006F6586"/>
    <w:rsid w:val="00706DC4"/>
    <w:rsid w:val="00713C92"/>
    <w:rsid w:val="00716586"/>
    <w:rsid w:val="00721026"/>
    <w:rsid w:val="00730A84"/>
    <w:rsid w:val="0073260F"/>
    <w:rsid w:val="00733756"/>
    <w:rsid w:val="00734EBA"/>
    <w:rsid w:val="007371C5"/>
    <w:rsid w:val="007423A9"/>
    <w:rsid w:val="00743CC7"/>
    <w:rsid w:val="007567C4"/>
    <w:rsid w:val="0075779E"/>
    <w:rsid w:val="00765098"/>
    <w:rsid w:val="00766A41"/>
    <w:rsid w:val="00777DB8"/>
    <w:rsid w:val="0078184A"/>
    <w:rsid w:val="007934DC"/>
    <w:rsid w:val="00795E56"/>
    <w:rsid w:val="007A089E"/>
    <w:rsid w:val="007A2ACF"/>
    <w:rsid w:val="007A30A7"/>
    <w:rsid w:val="007B3D0C"/>
    <w:rsid w:val="007B494C"/>
    <w:rsid w:val="007C404D"/>
    <w:rsid w:val="007C4179"/>
    <w:rsid w:val="007C6CA7"/>
    <w:rsid w:val="007E2509"/>
    <w:rsid w:val="007E72A5"/>
    <w:rsid w:val="007F3DAB"/>
    <w:rsid w:val="007F56E7"/>
    <w:rsid w:val="007F7967"/>
    <w:rsid w:val="00803CEB"/>
    <w:rsid w:val="00805EEF"/>
    <w:rsid w:val="008065C3"/>
    <w:rsid w:val="008153EC"/>
    <w:rsid w:val="0081572C"/>
    <w:rsid w:val="00816AED"/>
    <w:rsid w:val="00820D02"/>
    <w:rsid w:val="008256FB"/>
    <w:rsid w:val="008277C4"/>
    <w:rsid w:val="00830850"/>
    <w:rsid w:val="00832F14"/>
    <w:rsid w:val="00834C2D"/>
    <w:rsid w:val="00851DE3"/>
    <w:rsid w:val="00854E88"/>
    <w:rsid w:val="0085583C"/>
    <w:rsid w:val="0086440A"/>
    <w:rsid w:val="008650CF"/>
    <w:rsid w:val="008679CE"/>
    <w:rsid w:val="00870B53"/>
    <w:rsid w:val="00873187"/>
    <w:rsid w:val="00873A16"/>
    <w:rsid w:val="00874ABD"/>
    <w:rsid w:val="008763E9"/>
    <w:rsid w:val="008801DE"/>
    <w:rsid w:val="008828E6"/>
    <w:rsid w:val="008839E4"/>
    <w:rsid w:val="0088709B"/>
    <w:rsid w:val="00896DAC"/>
    <w:rsid w:val="008A6161"/>
    <w:rsid w:val="008B6156"/>
    <w:rsid w:val="008C4C76"/>
    <w:rsid w:val="008C51DF"/>
    <w:rsid w:val="008D056C"/>
    <w:rsid w:val="008D701F"/>
    <w:rsid w:val="008E027A"/>
    <w:rsid w:val="008E1098"/>
    <w:rsid w:val="008E13DD"/>
    <w:rsid w:val="008E3B23"/>
    <w:rsid w:val="008E55C3"/>
    <w:rsid w:val="008E60FA"/>
    <w:rsid w:val="008F2CDF"/>
    <w:rsid w:val="00902CF5"/>
    <w:rsid w:val="00906280"/>
    <w:rsid w:val="0093367C"/>
    <w:rsid w:val="00942324"/>
    <w:rsid w:val="00942E96"/>
    <w:rsid w:val="00952E30"/>
    <w:rsid w:val="0096688B"/>
    <w:rsid w:val="00967281"/>
    <w:rsid w:val="00967B70"/>
    <w:rsid w:val="00981422"/>
    <w:rsid w:val="00982A1B"/>
    <w:rsid w:val="009A46A7"/>
    <w:rsid w:val="009A68D5"/>
    <w:rsid w:val="009B1B62"/>
    <w:rsid w:val="009B5900"/>
    <w:rsid w:val="009B6CDC"/>
    <w:rsid w:val="009C7C60"/>
    <w:rsid w:val="009D3FFE"/>
    <w:rsid w:val="009E7E4F"/>
    <w:rsid w:val="009F08FA"/>
    <w:rsid w:val="009F4767"/>
    <w:rsid w:val="009F5E3D"/>
    <w:rsid w:val="009F63A8"/>
    <w:rsid w:val="00A0054C"/>
    <w:rsid w:val="00A00876"/>
    <w:rsid w:val="00A00B6B"/>
    <w:rsid w:val="00A01CFD"/>
    <w:rsid w:val="00A026D3"/>
    <w:rsid w:val="00A06151"/>
    <w:rsid w:val="00A121AD"/>
    <w:rsid w:val="00A132C6"/>
    <w:rsid w:val="00A20799"/>
    <w:rsid w:val="00A2330E"/>
    <w:rsid w:val="00A24C52"/>
    <w:rsid w:val="00A34490"/>
    <w:rsid w:val="00A34824"/>
    <w:rsid w:val="00A44C1A"/>
    <w:rsid w:val="00A474B2"/>
    <w:rsid w:val="00A50B22"/>
    <w:rsid w:val="00A52324"/>
    <w:rsid w:val="00A54B34"/>
    <w:rsid w:val="00A570E2"/>
    <w:rsid w:val="00A66F89"/>
    <w:rsid w:val="00A7265C"/>
    <w:rsid w:val="00A73B3F"/>
    <w:rsid w:val="00A76EE8"/>
    <w:rsid w:val="00A8161B"/>
    <w:rsid w:val="00A86387"/>
    <w:rsid w:val="00A87449"/>
    <w:rsid w:val="00A9673B"/>
    <w:rsid w:val="00AA0801"/>
    <w:rsid w:val="00AA53DD"/>
    <w:rsid w:val="00AA6ED3"/>
    <w:rsid w:val="00AB0102"/>
    <w:rsid w:val="00AB1295"/>
    <w:rsid w:val="00AB4799"/>
    <w:rsid w:val="00AB4DBF"/>
    <w:rsid w:val="00AB7DD6"/>
    <w:rsid w:val="00AC1B9F"/>
    <w:rsid w:val="00AC43AC"/>
    <w:rsid w:val="00AC59EB"/>
    <w:rsid w:val="00AD1294"/>
    <w:rsid w:val="00AD427E"/>
    <w:rsid w:val="00AE11F2"/>
    <w:rsid w:val="00AE299B"/>
    <w:rsid w:val="00AF1F51"/>
    <w:rsid w:val="00AF49A0"/>
    <w:rsid w:val="00AF56CA"/>
    <w:rsid w:val="00AF6A1F"/>
    <w:rsid w:val="00B0388D"/>
    <w:rsid w:val="00B03AC3"/>
    <w:rsid w:val="00B04DFA"/>
    <w:rsid w:val="00B13828"/>
    <w:rsid w:val="00B1615B"/>
    <w:rsid w:val="00B244CC"/>
    <w:rsid w:val="00B2787C"/>
    <w:rsid w:val="00B34402"/>
    <w:rsid w:val="00B352B6"/>
    <w:rsid w:val="00B35B39"/>
    <w:rsid w:val="00B4040A"/>
    <w:rsid w:val="00B422E4"/>
    <w:rsid w:val="00B423F5"/>
    <w:rsid w:val="00B46839"/>
    <w:rsid w:val="00B54920"/>
    <w:rsid w:val="00B60786"/>
    <w:rsid w:val="00B60FED"/>
    <w:rsid w:val="00B6162C"/>
    <w:rsid w:val="00B6588A"/>
    <w:rsid w:val="00B743D5"/>
    <w:rsid w:val="00B747AF"/>
    <w:rsid w:val="00B77266"/>
    <w:rsid w:val="00B8019B"/>
    <w:rsid w:val="00B84542"/>
    <w:rsid w:val="00B96D2D"/>
    <w:rsid w:val="00BA0340"/>
    <w:rsid w:val="00BA1A60"/>
    <w:rsid w:val="00BA581D"/>
    <w:rsid w:val="00BB1B40"/>
    <w:rsid w:val="00BB42A4"/>
    <w:rsid w:val="00BB44EE"/>
    <w:rsid w:val="00BC3531"/>
    <w:rsid w:val="00BD4E97"/>
    <w:rsid w:val="00BD7E3A"/>
    <w:rsid w:val="00BE5D33"/>
    <w:rsid w:val="00BE5D71"/>
    <w:rsid w:val="00C01272"/>
    <w:rsid w:val="00C130A0"/>
    <w:rsid w:val="00C13E61"/>
    <w:rsid w:val="00C150D6"/>
    <w:rsid w:val="00C2727D"/>
    <w:rsid w:val="00C30AF2"/>
    <w:rsid w:val="00C34C72"/>
    <w:rsid w:val="00C35739"/>
    <w:rsid w:val="00C3776C"/>
    <w:rsid w:val="00C43323"/>
    <w:rsid w:val="00C45221"/>
    <w:rsid w:val="00C466FA"/>
    <w:rsid w:val="00C54FF8"/>
    <w:rsid w:val="00C63534"/>
    <w:rsid w:val="00C66B3E"/>
    <w:rsid w:val="00C8001A"/>
    <w:rsid w:val="00C835F9"/>
    <w:rsid w:val="00C87107"/>
    <w:rsid w:val="00C87AC7"/>
    <w:rsid w:val="00C951CF"/>
    <w:rsid w:val="00C95BEF"/>
    <w:rsid w:val="00CB10D8"/>
    <w:rsid w:val="00CB2155"/>
    <w:rsid w:val="00CB3072"/>
    <w:rsid w:val="00CB45AE"/>
    <w:rsid w:val="00CB5360"/>
    <w:rsid w:val="00CB59ED"/>
    <w:rsid w:val="00CB6539"/>
    <w:rsid w:val="00CD195E"/>
    <w:rsid w:val="00CD4E2B"/>
    <w:rsid w:val="00CD5A04"/>
    <w:rsid w:val="00CE627C"/>
    <w:rsid w:val="00CF393D"/>
    <w:rsid w:val="00D010C8"/>
    <w:rsid w:val="00D01A7D"/>
    <w:rsid w:val="00D12CCE"/>
    <w:rsid w:val="00D1346D"/>
    <w:rsid w:val="00D23575"/>
    <w:rsid w:val="00D24CF9"/>
    <w:rsid w:val="00D27151"/>
    <w:rsid w:val="00D3385C"/>
    <w:rsid w:val="00D45721"/>
    <w:rsid w:val="00D46C9D"/>
    <w:rsid w:val="00D470AA"/>
    <w:rsid w:val="00D628D8"/>
    <w:rsid w:val="00D707A5"/>
    <w:rsid w:val="00D71F39"/>
    <w:rsid w:val="00D80ACD"/>
    <w:rsid w:val="00D80E1D"/>
    <w:rsid w:val="00D815A4"/>
    <w:rsid w:val="00D86E6D"/>
    <w:rsid w:val="00D973ED"/>
    <w:rsid w:val="00D97DBA"/>
    <w:rsid w:val="00DB4135"/>
    <w:rsid w:val="00DB5243"/>
    <w:rsid w:val="00DB5975"/>
    <w:rsid w:val="00DC52F7"/>
    <w:rsid w:val="00DC6ED2"/>
    <w:rsid w:val="00DC7532"/>
    <w:rsid w:val="00DD4208"/>
    <w:rsid w:val="00DD5F35"/>
    <w:rsid w:val="00DE03B6"/>
    <w:rsid w:val="00DE5D18"/>
    <w:rsid w:val="00DE761B"/>
    <w:rsid w:val="00DF2CE8"/>
    <w:rsid w:val="00E01A43"/>
    <w:rsid w:val="00E0375B"/>
    <w:rsid w:val="00E078B6"/>
    <w:rsid w:val="00E12144"/>
    <w:rsid w:val="00E15473"/>
    <w:rsid w:val="00E2123D"/>
    <w:rsid w:val="00E24F9D"/>
    <w:rsid w:val="00E30F8F"/>
    <w:rsid w:val="00E3179D"/>
    <w:rsid w:val="00E3420F"/>
    <w:rsid w:val="00E37318"/>
    <w:rsid w:val="00E40AC3"/>
    <w:rsid w:val="00E40EE8"/>
    <w:rsid w:val="00E4244B"/>
    <w:rsid w:val="00E4771D"/>
    <w:rsid w:val="00E518F5"/>
    <w:rsid w:val="00E52322"/>
    <w:rsid w:val="00E56778"/>
    <w:rsid w:val="00E61B8D"/>
    <w:rsid w:val="00E62040"/>
    <w:rsid w:val="00E65D8E"/>
    <w:rsid w:val="00E70671"/>
    <w:rsid w:val="00E7521C"/>
    <w:rsid w:val="00E8012A"/>
    <w:rsid w:val="00E90955"/>
    <w:rsid w:val="00E9397A"/>
    <w:rsid w:val="00E96600"/>
    <w:rsid w:val="00EA15AB"/>
    <w:rsid w:val="00EA2DBA"/>
    <w:rsid w:val="00EA6044"/>
    <w:rsid w:val="00EC0F31"/>
    <w:rsid w:val="00EC5C0F"/>
    <w:rsid w:val="00EC64CE"/>
    <w:rsid w:val="00ED27CD"/>
    <w:rsid w:val="00EE4EBE"/>
    <w:rsid w:val="00EE7E7A"/>
    <w:rsid w:val="00EF2CC7"/>
    <w:rsid w:val="00F048A7"/>
    <w:rsid w:val="00F063D6"/>
    <w:rsid w:val="00F075A1"/>
    <w:rsid w:val="00F11E85"/>
    <w:rsid w:val="00F13C16"/>
    <w:rsid w:val="00F21BB2"/>
    <w:rsid w:val="00F31AAA"/>
    <w:rsid w:val="00F326B2"/>
    <w:rsid w:val="00F3388D"/>
    <w:rsid w:val="00F41A44"/>
    <w:rsid w:val="00F44BE1"/>
    <w:rsid w:val="00F50061"/>
    <w:rsid w:val="00F55CCF"/>
    <w:rsid w:val="00F567A7"/>
    <w:rsid w:val="00F6327A"/>
    <w:rsid w:val="00F635AB"/>
    <w:rsid w:val="00F64F06"/>
    <w:rsid w:val="00F667E1"/>
    <w:rsid w:val="00F72222"/>
    <w:rsid w:val="00F72A9B"/>
    <w:rsid w:val="00F75228"/>
    <w:rsid w:val="00F85134"/>
    <w:rsid w:val="00F8583E"/>
    <w:rsid w:val="00F87C14"/>
    <w:rsid w:val="00F95DD0"/>
    <w:rsid w:val="00FA07A6"/>
    <w:rsid w:val="00FA324E"/>
    <w:rsid w:val="00FB4DCF"/>
    <w:rsid w:val="00FD0692"/>
    <w:rsid w:val="00FD4A57"/>
    <w:rsid w:val="00FD4F4C"/>
    <w:rsid w:val="00FD572A"/>
    <w:rsid w:val="00FE1BC7"/>
    <w:rsid w:val="00FF083E"/>
    <w:rsid w:val="00FF4AC3"/>
    <w:rsid w:val="00FF6B11"/>
    <w:rsid w:val="00FF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D6A0B"/>
  <w15:chartTrackingRefBased/>
  <w15:docId w15:val="{31C3B4C6-8679-4F5B-8229-DCE802C5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125B3A"/>
    <w:rPr>
      <w:color w:val="605E5C"/>
      <w:shd w:val="clear" w:color="auto" w:fill="E1DFDD"/>
    </w:rPr>
  </w:style>
  <w:style w:type="paragraph" w:styleId="ListParagraph">
    <w:name w:val="List Paragraph"/>
    <w:basedOn w:val="Normal"/>
    <w:uiPriority w:val="34"/>
    <w:qFormat/>
    <w:rsid w:val="007A2ACF"/>
    <w:pPr>
      <w:ind w:left="720"/>
      <w:contextualSpacing/>
    </w:pPr>
  </w:style>
  <w:style w:type="paragraph" w:styleId="Header">
    <w:name w:val="header"/>
    <w:basedOn w:val="Normal"/>
    <w:link w:val="HeaderChar"/>
    <w:rsid w:val="00153467"/>
    <w:pPr>
      <w:tabs>
        <w:tab w:val="center" w:pos="4680"/>
        <w:tab w:val="right" w:pos="9360"/>
      </w:tabs>
    </w:pPr>
  </w:style>
  <w:style w:type="character" w:customStyle="1" w:styleId="HeaderChar">
    <w:name w:val="Header Char"/>
    <w:basedOn w:val="DefaultParagraphFont"/>
    <w:link w:val="Header"/>
    <w:rsid w:val="00153467"/>
    <w:rPr>
      <w:rFonts w:ascii="Arial" w:hAnsi="Arial"/>
    </w:rPr>
  </w:style>
  <w:style w:type="paragraph" w:styleId="Footer">
    <w:name w:val="footer"/>
    <w:basedOn w:val="Normal"/>
    <w:link w:val="FooterChar"/>
    <w:uiPriority w:val="99"/>
    <w:rsid w:val="00153467"/>
    <w:pPr>
      <w:tabs>
        <w:tab w:val="center" w:pos="4680"/>
        <w:tab w:val="right" w:pos="9360"/>
      </w:tabs>
    </w:pPr>
  </w:style>
  <w:style w:type="character" w:customStyle="1" w:styleId="FooterChar">
    <w:name w:val="Footer Char"/>
    <w:basedOn w:val="DefaultParagraphFont"/>
    <w:link w:val="Footer"/>
    <w:uiPriority w:val="99"/>
    <w:rsid w:val="00153467"/>
    <w:rPr>
      <w:rFonts w:ascii="Arial" w:hAnsi="Arial"/>
    </w:rPr>
  </w:style>
  <w:style w:type="table" w:styleId="TableGrid">
    <w:name w:val="Table Grid"/>
    <w:basedOn w:val="TableNormal"/>
    <w:rsid w:val="00366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4420"/>
    <w:rPr>
      <w:color w:val="808080"/>
    </w:rPr>
  </w:style>
  <w:style w:type="character" w:styleId="CommentReference">
    <w:name w:val="annotation reference"/>
    <w:basedOn w:val="DefaultParagraphFont"/>
    <w:rsid w:val="003B4598"/>
    <w:rPr>
      <w:sz w:val="16"/>
      <w:szCs w:val="16"/>
    </w:rPr>
  </w:style>
  <w:style w:type="paragraph" w:styleId="CommentText">
    <w:name w:val="annotation text"/>
    <w:basedOn w:val="Normal"/>
    <w:link w:val="CommentTextChar"/>
    <w:rsid w:val="003B4598"/>
  </w:style>
  <w:style w:type="character" w:customStyle="1" w:styleId="CommentTextChar">
    <w:name w:val="Comment Text Char"/>
    <w:basedOn w:val="DefaultParagraphFont"/>
    <w:link w:val="CommentText"/>
    <w:rsid w:val="003B4598"/>
    <w:rPr>
      <w:rFonts w:ascii="Arial" w:hAnsi="Arial"/>
    </w:rPr>
  </w:style>
  <w:style w:type="paragraph" w:styleId="CommentSubject">
    <w:name w:val="annotation subject"/>
    <w:basedOn w:val="CommentText"/>
    <w:next w:val="CommentText"/>
    <w:link w:val="CommentSubjectChar"/>
    <w:semiHidden/>
    <w:unhideWhenUsed/>
    <w:rsid w:val="003B4598"/>
    <w:rPr>
      <w:b/>
      <w:bCs/>
    </w:rPr>
  </w:style>
  <w:style w:type="character" w:customStyle="1" w:styleId="CommentSubjectChar">
    <w:name w:val="Comment Subject Char"/>
    <w:basedOn w:val="CommentTextChar"/>
    <w:link w:val="CommentSubject"/>
    <w:semiHidden/>
    <w:rsid w:val="003B4598"/>
    <w:rPr>
      <w:rFonts w:ascii="Arial" w:hAnsi="Arial"/>
      <w:b/>
      <w:bCs/>
    </w:rPr>
  </w:style>
  <w:style w:type="paragraph" w:styleId="BalloonText">
    <w:name w:val="Balloon Text"/>
    <w:basedOn w:val="Normal"/>
    <w:link w:val="BalloonTextChar"/>
    <w:semiHidden/>
    <w:unhideWhenUsed/>
    <w:rsid w:val="003B4598"/>
    <w:rPr>
      <w:rFonts w:ascii="Segoe UI" w:hAnsi="Segoe UI" w:cs="Segoe UI"/>
      <w:sz w:val="18"/>
      <w:szCs w:val="18"/>
    </w:rPr>
  </w:style>
  <w:style w:type="character" w:customStyle="1" w:styleId="BalloonTextChar">
    <w:name w:val="Balloon Text Char"/>
    <w:basedOn w:val="DefaultParagraphFont"/>
    <w:link w:val="BalloonText"/>
    <w:semiHidden/>
    <w:rsid w:val="003B4598"/>
    <w:rPr>
      <w:rFonts w:ascii="Segoe UI" w:hAnsi="Segoe UI" w:cs="Segoe UI"/>
      <w:sz w:val="18"/>
      <w:szCs w:val="18"/>
    </w:rPr>
  </w:style>
  <w:style w:type="table" w:styleId="TableGridLight">
    <w:name w:val="Grid Table Light"/>
    <w:basedOn w:val="TableNormal"/>
    <w:uiPriority w:val="40"/>
    <w:rsid w:val="002A13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rkedcontent">
    <w:name w:val="markedcontent"/>
    <w:basedOn w:val="DefaultParagraphFont"/>
    <w:rsid w:val="00F66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30563">
      <w:bodyDiv w:val="1"/>
      <w:marLeft w:val="0"/>
      <w:marRight w:val="0"/>
      <w:marTop w:val="0"/>
      <w:marBottom w:val="0"/>
      <w:divBdr>
        <w:top w:val="none" w:sz="0" w:space="0" w:color="auto"/>
        <w:left w:val="none" w:sz="0" w:space="0" w:color="auto"/>
        <w:bottom w:val="none" w:sz="0" w:space="0" w:color="auto"/>
        <w:right w:val="none" w:sz="0" w:space="0" w:color="auto"/>
      </w:divBdr>
      <w:divsChild>
        <w:div w:id="892424152">
          <w:marLeft w:val="0"/>
          <w:marRight w:val="0"/>
          <w:marTop w:val="0"/>
          <w:marBottom w:val="0"/>
          <w:divBdr>
            <w:top w:val="none" w:sz="0" w:space="0" w:color="auto"/>
            <w:left w:val="none" w:sz="0" w:space="0" w:color="auto"/>
            <w:bottom w:val="none" w:sz="0" w:space="0" w:color="auto"/>
            <w:right w:val="none" w:sz="0" w:space="0" w:color="auto"/>
          </w:divBdr>
        </w:div>
        <w:div w:id="1048648414">
          <w:marLeft w:val="0"/>
          <w:marRight w:val="0"/>
          <w:marTop w:val="0"/>
          <w:marBottom w:val="0"/>
          <w:divBdr>
            <w:top w:val="none" w:sz="0" w:space="0" w:color="auto"/>
            <w:left w:val="none" w:sz="0" w:space="0" w:color="auto"/>
            <w:bottom w:val="none" w:sz="0" w:space="0" w:color="auto"/>
            <w:right w:val="none" w:sz="0" w:space="0" w:color="auto"/>
          </w:divBdr>
        </w:div>
      </w:divsChild>
    </w:div>
    <w:div w:id="1063874045">
      <w:bodyDiv w:val="1"/>
      <w:marLeft w:val="0"/>
      <w:marRight w:val="0"/>
      <w:marTop w:val="0"/>
      <w:marBottom w:val="0"/>
      <w:divBdr>
        <w:top w:val="none" w:sz="0" w:space="0" w:color="auto"/>
        <w:left w:val="none" w:sz="0" w:space="0" w:color="auto"/>
        <w:bottom w:val="none" w:sz="0" w:space="0" w:color="auto"/>
        <w:right w:val="none" w:sz="0" w:space="0" w:color="auto"/>
      </w:divBdr>
      <w:divsChild>
        <w:div w:id="624656222">
          <w:marLeft w:val="0"/>
          <w:marRight w:val="0"/>
          <w:marTop w:val="0"/>
          <w:marBottom w:val="0"/>
          <w:divBdr>
            <w:top w:val="none" w:sz="0" w:space="0" w:color="auto"/>
            <w:left w:val="none" w:sz="0" w:space="0" w:color="auto"/>
            <w:bottom w:val="none" w:sz="0" w:space="0" w:color="auto"/>
            <w:right w:val="none" w:sz="0" w:space="0" w:color="auto"/>
          </w:divBdr>
        </w:div>
        <w:div w:id="1873608752">
          <w:marLeft w:val="0"/>
          <w:marRight w:val="0"/>
          <w:marTop w:val="0"/>
          <w:marBottom w:val="0"/>
          <w:divBdr>
            <w:top w:val="none" w:sz="0" w:space="0" w:color="auto"/>
            <w:left w:val="none" w:sz="0" w:space="0" w:color="auto"/>
            <w:bottom w:val="none" w:sz="0" w:space="0" w:color="auto"/>
            <w:right w:val="none" w:sz="0" w:space="0" w:color="auto"/>
          </w:divBdr>
        </w:div>
      </w:divsChild>
    </w:div>
    <w:div w:id="1195994982">
      <w:bodyDiv w:val="1"/>
      <w:marLeft w:val="0"/>
      <w:marRight w:val="0"/>
      <w:marTop w:val="0"/>
      <w:marBottom w:val="0"/>
      <w:divBdr>
        <w:top w:val="none" w:sz="0" w:space="0" w:color="auto"/>
        <w:left w:val="none" w:sz="0" w:space="0" w:color="auto"/>
        <w:bottom w:val="none" w:sz="0" w:space="0" w:color="auto"/>
        <w:right w:val="none" w:sz="0" w:space="0" w:color="auto"/>
      </w:divBdr>
      <w:divsChild>
        <w:div w:id="512648581">
          <w:marLeft w:val="0"/>
          <w:marRight w:val="0"/>
          <w:marTop w:val="0"/>
          <w:marBottom w:val="0"/>
          <w:divBdr>
            <w:top w:val="none" w:sz="0" w:space="0" w:color="auto"/>
            <w:left w:val="none" w:sz="0" w:space="0" w:color="auto"/>
            <w:bottom w:val="none" w:sz="0" w:space="0" w:color="auto"/>
            <w:right w:val="none" w:sz="0" w:space="0" w:color="auto"/>
          </w:divBdr>
        </w:div>
        <w:div w:id="1143884499">
          <w:marLeft w:val="0"/>
          <w:marRight w:val="0"/>
          <w:marTop w:val="0"/>
          <w:marBottom w:val="0"/>
          <w:divBdr>
            <w:top w:val="none" w:sz="0" w:space="0" w:color="auto"/>
            <w:left w:val="none" w:sz="0" w:space="0" w:color="auto"/>
            <w:bottom w:val="none" w:sz="0" w:space="0" w:color="auto"/>
            <w:right w:val="none" w:sz="0" w:space="0" w:color="auto"/>
          </w:divBdr>
        </w:div>
      </w:divsChild>
    </w:div>
    <w:div w:id="1287665287">
      <w:bodyDiv w:val="1"/>
      <w:marLeft w:val="0"/>
      <w:marRight w:val="0"/>
      <w:marTop w:val="0"/>
      <w:marBottom w:val="0"/>
      <w:divBdr>
        <w:top w:val="none" w:sz="0" w:space="0" w:color="auto"/>
        <w:left w:val="none" w:sz="0" w:space="0" w:color="auto"/>
        <w:bottom w:val="none" w:sz="0" w:space="0" w:color="auto"/>
        <w:right w:val="none" w:sz="0" w:space="0" w:color="auto"/>
      </w:divBdr>
    </w:div>
    <w:div w:id="1516916599">
      <w:bodyDiv w:val="1"/>
      <w:marLeft w:val="0"/>
      <w:marRight w:val="0"/>
      <w:marTop w:val="0"/>
      <w:marBottom w:val="0"/>
      <w:divBdr>
        <w:top w:val="none" w:sz="0" w:space="0" w:color="auto"/>
        <w:left w:val="none" w:sz="0" w:space="0" w:color="auto"/>
        <w:bottom w:val="none" w:sz="0" w:space="0" w:color="auto"/>
        <w:right w:val="none" w:sz="0" w:space="0" w:color="auto"/>
      </w:divBdr>
      <w:divsChild>
        <w:div w:id="378558419">
          <w:marLeft w:val="0"/>
          <w:marRight w:val="0"/>
          <w:marTop w:val="0"/>
          <w:marBottom w:val="0"/>
          <w:divBdr>
            <w:top w:val="none" w:sz="0" w:space="0" w:color="auto"/>
            <w:left w:val="none" w:sz="0" w:space="0" w:color="auto"/>
            <w:bottom w:val="none" w:sz="0" w:space="0" w:color="auto"/>
            <w:right w:val="none" w:sz="0" w:space="0" w:color="auto"/>
          </w:divBdr>
        </w:div>
        <w:div w:id="38495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ghspictograms/" TargetMode="External"/><Relationship Id="rId13" Type="http://schemas.openxmlformats.org/officeDocument/2006/relationships/image" Target="media/image5.jpeg"/><Relationship Id="rId18" Type="http://schemas.openxmlformats.org/officeDocument/2006/relationships/hyperlink" Target="https://ehs.wsu.edu/contact-informat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ehs.wsu.edu/Chemical-Waste/" TargetMode="External"/><Relationship Id="rId2" Type="http://schemas.openxmlformats.org/officeDocument/2006/relationships/numbering" Target="numbering.xml"/><Relationship Id="rId16" Type="http://schemas.openxmlformats.org/officeDocument/2006/relationships/hyperlink" Target="https://ehs.wsu.edu/ohs-chemhazardcommunication/ohs-workplacelabe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8B6DA-85E8-4706-B64F-4CA1F370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2762</Words>
  <Characters>15745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6</cp:revision>
  <cp:lastPrinted>2006-08-31T21:46:00Z</cp:lastPrinted>
  <dcterms:created xsi:type="dcterms:W3CDTF">2023-04-11T23:14:00Z</dcterms:created>
  <dcterms:modified xsi:type="dcterms:W3CDTF">2023-04-19T21:38:00Z</dcterms:modified>
</cp:coreProperties>
</file>