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171C2E00" w:rsidR="002266CB" w:rsidRDefault="00293BE3" w:rsidP="002266CB">
      <w:pPr>
        <w:pStyle w:val="Heading2"/>
        <w:rPr>
          <w:b w:val="0"/>
          <w:bCs/>
          <w:sz w:val="28"/>
          <w:szCs w:val="28"/>
        </w:rPr>
      </w:pPr>
      <w:r>
        <w:rPr>
          <w:b w:val="0"/>
          <w:bCs/>
          <w:sz w:val="28"/>
          <w:szCs w:val="28"/>
        </w:rPr>
        <w:t>Phosphoric</w:t>
      </w:r>
      <w:r w:rsidR="002266CB">
        <w:rPr>
          <w:b w:val="0"/>
          <w:bCs/>
          <w:sz w:val="28"/>
          <w:szCs w:val="28"/>
        </w:rPr>
        <w:t xml:space="preserve"> Acid</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Cs/>
              </w:rPr>
            </w:pPr>
            <w:r w:rsidRPr="00BF3771">
              <w:rPr>
                <w:rFonts w:cs="Arial"/>
                <w:b/>
                <w:u w:val="single"/>
              </w:rPr>
              <w:t>Procedure</w:t>
            </w:r>
            <w:r w:rsidRPr="00BF3771">
              <w:rPr>
                <w:rFonts w:cs="Arial"/>
                <w:b/>
              </w:rPr>
              <w:t>:</w:t>
            </w:r>
          </w:p>
          <w:p w14:paraId="538B732C" w14:textId="77777777" w:rsidR="00C04DD1" w:rsidRPr="0056005C" w:rsidRDefault="00C04DD1" w:rsidP="003958C1">
            <w:pPr>
              <w:rPr>
                <w:b/>
                <w:color w:val="0000FF"/>
              </w:rPr>
            </w:pPr>
          </w:p>
          <w:p w14:paraId="27CE2FD5" w14:textId="77777777" w:rsidR="003958C1" w:rsidRDefault="003958C1">
            <w:pPr>
              <w:autoSpaceDE w:val="0"/>
              <w:autoSpaceDN w:val="0"/>
              <w:adjustRightInd w:val="0"/>
            </w:pPr>
          </w:p>
          <w:p w14:paraId="2C0DD7D8" w14:textId="77777777" w:rsidR="0091129F" w:rsidRDefault="0091129F" w:rsidP="0091129F">
            <w:pPr>
              <w:autoSpaceDE w:val="0"/>
              <w:autoSpaceDN w:val="0"/>
              <w:adjustRightInd w:val="0"/>
            </w:pPr>
            <w:r w:rsidRPr="00C04DD1">
              <w:rPr>
                <w:b/>
              </w:rPr>
              <w:t>REMEMBER!</w:t>
            </w:r>
            <w:r>
              <w:t xml:space="preserve"> Always add acid to water to limit exothermic reactions such as splatter, bubbling and fuming.</w:t>
            </w:r>
          </w:p>
          <w:p w14:paraId="2A1E4EAA" w14:textId="77777777" w:rsidR="0091129F" w:rsidRDefault="0091129F" w:rsidP="0091129F">
            <w:pPr>
              <w:tabs>
                <w:tab w:val="left" w:pos="2952"/>
              </w:tabs>
              <w:rPr>
                <w:rFonts w:ascii="Helvetica" w:hAnsi="Helvetica"/>
              </w:rPr>
            </w:pPr>
          </w:p>
          <w:p w14:paraId="67BC9763" w14:textId="77777777" w:rsidR="0091129F" w:rsidRDefault="0091129F" w:rsidP="0091129F">
            <w:pPr>
              <w:tabs>
                <w:tab w:val="left" w:pos="2952"/>
              </w:tabs>
              <w:rPr>
                <w:rFonts w:ascii="Helvetica" w:hAnsi="Helvetica"/>
              </w:rPr>
            </w:pPr>
            <w:r>
              <w:rPr>
                <w:rFonts w:ascii="Helvetica" w:hAnsi="Helvetica"/>
              </w:rPr>
              <w:t xml:space="preserve">A large amount of heat is generated when strong acids are mixed with water. Adding more acid releases more heat. Adding water to acid forms an extremely concentrated solution of acid. Heat causes the solution to boil violently, splashing concentrated acid out of the container. </w:t>
            </w:r>
          </w:p>
          <w:p w14:paraId="4908A3AE" w14:textId="77777777" w:rsidR="0091129F" w:rsidRDefault="0091129F" w:rsidP="0091129F">
            <w:pPr>
              <w:tabs>
                <w:tab w:val="left" w:pos="2952"/>
              </w:tabs>
              <w:rPr>
                <w:rFonts w:ascii="Helvetica" w:hAnsi="Helvetica"/>
              </w:rPr>
            </w:pPr>
          </w:p>
          <w:p w14:paraId="6B7C2792" w14:textId="77777777" w:rsidR="00E40AC3" w:rsidRDefault="0091129F" w:rsidP="0091129F">
            <w:pPr>
              <w:tabs>
                <w:tab w:val="left" w:pos="2952"/>
              </w:tabs>
              <w:rPr>
                <w:rFonts w:ascii="Helvetica" w:hAnsi="Helvetica"/>
              </w:rPr>
            </w:pPr>
            <w:r>
              <w:rPr>
                <w:rFonts w:ascii="Helvetica" w:hAnsi="Helvetica"/>
              </w:rPr>
              <w:t xml:space="preserve">Adding acid to water, the resulting solution is </w:t>
            </w:r>
            <w:proofErr w:type="gramStart"/>
            <w:r>
              <w:rPr>
                <w:rFonts w:ascii="Helvetica" w:hAnsi="Helvetica"/>
              </w:rPr>
              <w:t>dilute</w:t>
            </w:r>
            <w:proofErr w:type="gramEnd"/>
            <w:r>
              <w:rPr>
                <w:rFonts w:ascii="Helvetica" w:hAnsi="Helvetica"/>
              </w:rPr>
              <w:t xml:space="preserve"> and the heat released is absorbed by the water.</w:t>
            </w:r>
            <w:r w:rsidR="00E40AC3">
              <w:rPr>
                <w:rFonts w:ascii="Helvetica" w:hAnsi="Helvetica"/>
              </w:rPr>
              <w:t xml:space="preserve"> </w:t>
            </w:r>
          </w:p>
          <w:p w14:paraId="1506F252" w14:textId="77777777" w:rsidR="00E40AC3" w:rsidRDefault="00E40AC3">
            <w:pPr>
              <w:tabs>
                <w:tab w:val="left" w:pos="2952"/>
              </w:tabs>
              <w:rPr>
                <w:rFonts w:ascii="Helvetica" w:hAnsi="Helvetica"/>
              </w:rPr>
            </w:pPr>
          </w:p>
          <w:p w14:paraId="468AE50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5980B141" w14:textId="77777777" w:rsidR="000259D7" w:rsidRDefault="000259D7">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47B29DC9" w14:textId="77777777" w:rsidR="00293BE3" w:rsidRDefault="00293BE3" w:rsidP="00293BE3">
            <w:r>
              <w:rPr>
                <w:b/>
                <w:u w:val="single"/>
              </w:rPr>
              <w:t>Phosphoric Acid- CAS# 7664-38-2</w:t>
            </w:r>
            <w:r>
              <w:t>; also known Orthophosphoric acid, Phosphoric acid (aqueous), and White phosphoric acid.  It is a colorless, odorless solid or a thick, clear liquid. It is used in rustproofing metals, fertilizers, detergents, foods, beverages, and water treatment. [Note: Often used in an aqueous solution.]</w:t>
            </w:r>
          </w:p>
          <w:p w14:paraId="2A5C0DD9" w14:textId="77777777" w:rsidR="00293BE3" w:rsidRDefault="00293BE3" w:rsidP="00293BE3"/>
          <w:p w14:paraId="288C11E7" w14:textId="78033748" w:rsidR="00293BE3" w:rsidRDefault="004375C2" w:rsidP="00293BE3">
            <w:pPr>
              <w:numPr>
                <w:ilvl w:val="0"/>
                <w:numId w:val="6"/>
              </w:numPr>
              <w:rPr>
                <w:b/>
              </w:rPr>
            </w:pPr>
            <w:r>
              <w:rPr>
                <w:b/>
              </w:rPr>
              <w:t xml:space="preserve">Corrosive. </w:t>
            </w:r>
            <w:r w:rsidR="00293BE3">
              <w:rPr>
                <w:b/>
              </w:rPr>
              <w:t>Causes severe skin burns and eye damage.</w:t>
            </w:r>
          </w:p>
          <w:p w14:paraId="20979D1E" w14:textId="77777777" w:rsidR="00293BE3" w:rsidRDefault="00293BE3" w:rsidP="00293BE3">
            <w:pPr>
              <w:numPr>
                <w:ilvl w:val="0"/>
                <w:numId w:val="6"/>
              </w:numPr>
              <w:rPr>
                <w:b/>
              </w:rPr>
            </w:pPr>
            <w:r>
              <w:rPr>
                <w:b/>
              </w:rPr>
              <w:t>May affect the respiratory system when inhaled.</w:t>
            </w:r>
          </w:p>
          <w:p w14:paraId="73734556" w14:textId="77777777" w:rsidR="00293BE3" w:rsidRDefault="00293BE3" w:rsidP="00293BE3">
            <w:pPr>
              <w:numPr>
                <w:ilvl w:val="0"/>
                <w:numId w:val="6"/>
              </w:numPr>
              <w:rPr>
                <w:b/>
              </w:rPr>
            </w:pPr>
            <w:r>
              <w:rPr>
                <w:b/>
              </w:rPr>
              <w:t>Breathing Phosphoric Acid can irritate the nose, throat and lungs causing coughing and wheezing.</w:t>
            </w:r>
          </w:p>
          <w:p w14:paraId="2837F259" w14:textId="77777777" w:rsidR="00293BE3" w:rsidRDefault="00293BE3" w:rsidP="00293BE3">
            <w:pPr>
              <w:numPr>
                <w:ilvl w:val="0"/>
                <w:numId w:val="6"/>
              </w:numPr>
              <w:rPr>
                <w:b/>
              </w:rPr>
            </w:pPr>
            <w:r>
              <w:rPr>
                <w:b/>
              </w:rPr>
              <w:t>May cause damage to the following organs: blood, liver, skin, eyes, bone marrow.</w:t>
            </w:r>
          </w:p>
          <w:p w14:paraId="5924AF50" w14:textId="5EA54B4B" w:rsidR="00BA7BB5" w:rsidRPr="001C16EE" w:rsidRDefault="00293BE3" w:rsidP="001C16EE">
            <w:pPr>
              <w:numPr>
                <w:ilvl w:val="0"/>
                <w:numId w:val="6"/>
              </w:numPr>
              <w:rPr>
                <w:b/>
              </w:rPr>
            </w:pPr>
            <w:r>
              <w:rPr>
                <w:b/>
              </w:rPr>
              <w:t>May be corrosive to metals.</w:t>
            </w:r>
          </w:p>
          <w:p w14:paraId="6F66803A" w14:textId="77777777" w:rsidR="00CF3641" w:rsidRDefault="00CF3641" w:rsidP="000259D7"/>
          <w:p w14:paraId="73A5A288" w14:textId="67C45739" w:rsidR="005D4BF4" w:rsidRDefault="00000000" w:rsidP="000259D7">
            <w:hyperlink r:id="rId5" w:history="1">
              <w:r w:rsidR="005D4BF4" w:rsidRPr="000A67C9">
                <w:rPr>
                  <w:rStyle w:val="Hyperlink"/>
                  <w:b/>
                  <w:bCs/>
                </w:rPr>
                <w:t>GHS hazard pictograms</w:t>
              </w:r>
            </w:hyperlink>
          </w:p>
          <w:p w14:paraId="2DDE3410" w14:textId="77777777" w:rsidR="005D4BF4" w:rsidRDefault="005D4BF4" w:rsidP="000259D7"/>
          <w:p w14:paraId="4A522E0D" w14:textId="5BD76F39" w:rsidR="00B113D7" w:rsidRPr="00F95A7C" w:rsidRDefault="00A27893" w:rsidP="000259D7">
            <w:pPr>
              <w:rPr>
                <w:b/>
                <w:sz w:val="24"/>
              </w:rPr>
            </w:pPr>
            <w:r>
              <w:t xml:space="preserve">    </w:t>
            </w:r>
            <w:r w:rsidR="00981A4D">
              <w:rPr>
                <w:noProof/>
              </w:rPr>
              <w:drawing>
                <wp:inline distT="0" distB="0" distL="0" distR="0" wp14:anchorId="1B2CF092" wp14:editId="1B3F6BDC">
                  <wp:extent cx="63627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00B113D7">
              <w:t xml:space="preserve">   </w:t>
            </w:r>
            <w:r w:rsidR="005B2F1B">
              <w:t xml:space="preserve"> </w:t>
            </w:r>
            <w:r w:rsidR="00F95A7C">
              <w:t xml:space="preserve"> </w:t>
            </w:r>
            <w:r w:rsidR="00981A4D">
              <w:rPr>
                <w:noProof/>
              </w:rPr>
              <w:drawing>
                <wp:inline distT="0" distB="0" distL="0" distR="0" wp14:anchorId="2615C424" wp14:editId="72D2C794">
                  <wp:extent cx="636270"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sidR="00C9780D">
              <w:t xml:space="preserve">    </w:t>
            </w:r>
            <w:r w:rsidR="00F95A7C">
              <w:t xml:space="preserve">  </w:t>
            </w:r>
            <w:r w:rsidR="00F95A7C" w:rsidRPr="00F95A7C">
              <w:rPr>
                <w:u w:val="single"/>
              </w:rPr>
              <w:t>Signal Word</w:t>
            </w:r>
            <w:r w:rsidR="00F95A7C">
              <w:t xml:space="preserve">:   </w:t>
            </w:r>
            <w:r w:rsidR="00F95A7C" w:rsidRPr="00F95A7C">
              <w:rPr>
                <w:b/>
                <w:sz w:val="24"/>
              </w:rPr>
              <w:t>DANGER</w:t>
            </w:r>
          </w:p>
          <w:p w14:paraId="4DBD81A9" w14:textId="77777777" w:rsidR="0019114C" w:rsidRDefault="0019114C" w:rsidP="000259D7"/>
          <w:p w14:paraId="7A242188" w14:textId="77777777" w:rsidR="00D17B58" w:rsidRPr="00EB5594" w:rsidRDefault="00D17B58" w:rsidP="00D17B58">
            <w:pPr>
              <w:rPr>
                <w:rFonts w:cs="Arial"/>
              </w:rPr>
            </w:pPr>
            <w:r w:rsidRPr="00EB5594">
              <w:rPr>
                <w:rFonts w:cs="Arial"/>
                <w:u w:val="single"/>
              </w:rPr>
              <w:t>Exposure Limits</w:t>
            </w:r>
            <w:r>
              <w:rPr>
                <w:rFonts w:cs="Arial"/>
              </w:rPr>
              <w:t>:</w:t>
            </w:r>
          </w:p>
          <w:p w14:paraId="642B2932" w14:textId="77777777" w:rsidR="00293BE3" w:rsidRDefault="00293BE3" w:rsidP="00293BE3">
            <w:pPr>
              <w:autoSpaceDE w:val="0"/>
              <w:autoSpaceDN w:val="0"/>
              <w:adjustRightInd w:val="0"/>
              <w:rPr>
                <w:rFonts w:cs="Arial"/>
              </w:rPr>
            </w:pPr>
            <w:r>
              <w:rPr>
                <w:rFonts w:cs="Arial"/>
                <w:b/>
              </w:rPr>
              <w:t xml:space="preserve">DOSH: </w:t>
            </w:r>
            <w:r>
              <w:rPr>
                <w:rFonts w:cs="Arial"/>
                <w:u w:val="single"/>
              </w:rPr>
              <w:t>TWA</w:t>
            </w:r>
            <w:r>
              <w:rPr>
                <w:rFonts w:cs="Arial"/>
              </w:rPr>
              <w:t>: 1 mg/m</w:t>
            </w:r>
            <w:r>
              <w:rPr>
                <w:rFonts w:cs="Arial"/>
                <w:vertAlign w:val="superscript"/>
              </w:rPr>
              <w:t>3</w:t>
            </w:r>
            <w:r>
              <w:rPr>
                <w:rFonts w:cs="Arial"/>
              </w:rPr>
              <w:t xml:space="preserve">; </w:t>
            </w:r>
            <w:r>
              <w:rPr>
                <w:rFonts w:cs="Arial"/>
                <w:u w:val="single"/>
              </w:rPr>
              <w:t>STEL</w:t>
            </w:r>
            <w:r>
              <w:rPr>
                <w:rFonts w:cs="Arial"/>
              </w:rPr>
              <w:t>: 3 mg/m</w:t>
            </w:r>
            <w:r>
              <w:rPr>
                <w:rFonts w:cs="Arial"/>
                <w:vertAlign w:val="superscript"/>
              </w:rPr>
              <w:t>3</w:t>
            </w:r>
            <w:r>
              <w:rPr>
                <w:rFonts w:cs="Arial"/>
              </w:rPr>
              <w:t xml:space="preserve"> </w:t>
            </w:r>
          </w:p>
          <w:p w14:paraId="66D83C7A" w14:textId="77777777" w:rsidR="00293BE3" w:rsidRDefault="00293BE3" w:rsidP="00293BE3">
            <w:pPr>
              <w:rPr>
                <w:rFonts w:cs="Arial"/>
              </w:rPr>
            </w:pPr>
            <w:r>
              <w:rPr>
                <w:rFonts w:cs="Arial"/>
                <w:b/>
              </w:rPr>
              <w:t xml:space="preserve">NIOSH: </w:t>
            </w:r>
            <w:r>
              <w:rPr>
                <w:rFonts w:cs="Arial"/>
                <w:u w:val="single"/>
              </w:rPr>
              <w:t>TWA</w:t>
            </w:r>
            <w:r>
              <w:rPr>
                <w:rFonts w:cs="Arial"/>
              </w:rPr>
              <w:t>: 1 mg/m</w:t>
            </w:r>
            <w:r>
              <w:rPr>
                <w:rFonts w:cs="Arial"/>
                <w:vertAlign w:val="superscript"/>
              </w:rPr>
              <w:t>3</w:t>
            </w:r>
            <w:r>
              <w:rPr>
                <w:rFonts w:cs="Arial"/>
              </w:rPr>
              <w:t xml:space="preserve">; </w:t>
            </w:r>
            <w:r>
              <w:rPr>
                <w:rFonts w:cs="Arial"/>
                <w:u w:val="single"/>
              </w:rPr>
              <w:t>STEL</w:t>
            </w:r>
            <w:r>
              <w:rPr>
                <w:rFonts w:cs="Arial"/>
              </w:rPr>
              <w:t>: 3 mg/m</w:t>
            </w:r>
            <w:r>
              <w:rPr>
                <w:rFonts w:cs="Arial"/>
                <w:vertAlign w:val="superscript"/>
              </w:rPr>
              <w:t>3</w:t>
            </w:r>
          </w:p>
          <w:p w14:paraId="590ADB54" w14:textId="109501F2" w:rsidR="00D17B58" w:rsidRDefault="00293BE3" w:rsidP="00293BE3">
            <w:pPr>
              <w:autoSpaceDE w:val="0"/>
              <w:autoSpaceDN w:val="0"/>
              <w:adjustRightInd w:val="0"/>
              <w:rPr>
                <w:rFonts w:cs="Arial"/>
                <w:u w:val="single"/>
              </w:rPr>
            </w:pPr>
            <w:r>
              <w:rPr>
                <w:rFonts w:cs="Arial"/>
                <w:b/>
              </w:rPr>
              <w:t>ACGIH:</w:t>
            </w:r>
            <w:r>
              <w:rPr>
                <w:rFonts w:cs="Arial"/>
              </w:rPr>
              <w:t xml:space="preserve"> </w:t>
            </w:r>
            <w:r>
              <w:rPr>
                <w:rFonts w:cs="Arial"/>
                <w:u w:val="single"/>
              </w:rPr>
              <w:t>TWA</w:t>
            </w:r>
            <w:r>
              <w:rPr>
                <w:rFonts w:cs="Arial"/>
              </w:rPr>
              <w:t>: 1 mg/m</w:t>
            </w:r>
            <w:r>
              <w:rPr>
                <w:rFonts w:cs="Arial"/>
                <w:vertAlign w:val="superscript"/>
              </w:rPr>
              <w:t>3</w:t>
            </w:r>
            <w:r>
              <w:rPr>
                <w:rFonts w:cs="Arial"/>
              </w:rPr>
              <w:t xml:space="preserve">; </w:t>
            </w:r>
            <w:r>
              <w:rPr>
                <w:rFonts w:cs="Arial"/>
                <w:u w:val="single"/>
              </w:rPr>
              <w:t>STEL</w:t>
            </w:r>
            <w:r>
              <w:rPr>
                <w:rFonts w:cs="Arial"/>
              </w:rPr>
              <w:t>: 3 mg/m</w:t>
            </w:r>
            <w:r>
              <w:rPr>
                <w:rFonts w:cs="Arial"/>
                <w:vertAlign w:val="superscript"/>
              </w:rPr>
              <w:t>3</w:t>
            </w:r>
          </w:p>
          <w:p w14:paraId="4308E20E" w14:textId="77777777" w:rsidR="00293BE3" w:rsidRDefault="00293BE3" w:rsidP="00B113D7">
            <w:pPr>
              <w:autoSpaceDE w:val="0"/>
              <w:autoSpaceDN w:val="0"/>
              <w:adjustRightInd w:val="0"/>
              <w:rPr>
                <w:rFonts w:cs="Arial"/>
                <w:u w:val="single"/>
              </w:rPr>
            </w:pPr>
          </w:p>
          <w:p w14:paraId="108D16A9" w14:textId="2D94DDAC" w:rsidR="00B113D7" w:rsidRDefault="0048157D" w:rsidP="00B113D7">
            <w:pPr>
              <w:autoSpaceDE w:val="0"/>
              <w:autoSpaceDN w:val="0"/>
              <w:adjustRightInd w:val="0"/>
              <w:rPr>
                <w:rFonts w:cs="Arial"/>
              </w:rPr>
            </w:pPr>
            <w:r>
              <w:rPr>
                <w:rFonts w:cs="Arial"/>
                <w:u w:val="single"/>
              </w:rPr>
              <w:t>Toxicological</w:t>
            </w:r>
            <w:r w:rsidR="00B113D7" w:rsidRPr="00F5100C">
              <w:rPr>
                <w:rFonts w:cs="Arial"/>
                <w:u w:val="single"/>
              </w:rPr>
              <w:t xml:space="preserve"> </w:t>
            </w:r>
            <w:r w:rsidR="00D17B58">
              <w:rPr>
                <w:rFonts w:cs="Arial"/>
                <w:u w:val="single"/>
              </w:rPr>
              <w:t>Data</w:t>
            </w:r>
            <w:r w:rsidR="00B113D7" w:rsidRPr="00C4370F">
              <w:rPr>
                <w:rFonts w:cs="Arial"/>
              </w:rPr>
              <w:t>:</w:t>
            </w:r>
          </w:p>
          <w:p w14:paraId="4FACCD70" w14:textId="77777777" w:rsidR="00293BE3" w:rsidRDefault="00293BE3" w:rsidP="00293BE3">
            <w:pPr>
              <w:autoSpaceDE w:val="0"/>
              <w:autoSpaceDN w:val="0"/>
              <w:adjustRightInd w:val="0"/>
              <w:rPr>
                <w:rFonts w:cs="Arial"/>
              </w:rPr>
            </w:pPr>
            <w:r>
              <w:rPr>
                <w:rFonts w:cs="Arial"/>
                <w:b/>
              </w:rPr>
              <w:t>ORAL (LD50):</w:t>
            </w:r>
            <w:r>
              <w:rPr>
                <w:rFonts w:cs="Arial"/>
              </w:rPr>
              <w:t xml:space="preserve"> 1,530 mg/kg [Rat]. </w:t>
            </w:r>
          </w:p>
          <w:p w14:paraId="3352227F" w14:textId="77777777" w:rsidR="00293BE3" w:rsidRDefault="00293BE3" w:rsidP="00293BE3">
            <w:pPr>
              <w:autoSpaceDE w:val="0"/>
              <w:autoSpaceDN w:val="0"/>
              <w:adjustRightInd w:val="0"/>
              <w:rPr>
                <w:rFonts w:cs="Arial"/>
              </w:rPr>
            </w:pPr>
            <w:r>
              <w:rPr>
                <w:rFonts w:cs="Arial"/>
                <w:b/>
              </w:rPr>
              <w:t>DERMAL (LD50):</w:t>
            </w:r>
            <w:r>
              <w:rPr>
                <w:rFonts w:cs="Arial"/>
              </w:rPr>
              <w:t xml:space="preserve"> 2,740 mg/kg [Rabbit].</w:t>
            </w:r>
          </w:p>
          <w:p w14:paraId="0FAB0F83" w14:textId="71022FAF" w:rsidR="00B113D7" w:rsidRDefault="00293BE3" w:rsidP="00293BE3">
            <w:r>
              <w:rPr>
                <w:rFonts w:cs="Arial"/>
                <w:b/>
              </w:rPr>
              <w:t>INHALATION (LC50):</w:t>
            </w:r>
            <w:r>
              <w:rPr>
                <w:rFonts w:cs="Arial"/>
              </w:rPr>
              <w:t xml:space="preserve"> 850 mg/m </w:t>
            </w:r>
            <w:r>
              <w:rPr>
                <w:rFonts w:cs="Arial"/>
                <w:u w:val="single"/>
              </w:rPr>
              <w:t>1 hour</w:t>
            </w:r>
            <w:r>
              <w:rPr>
                <w:rFonts w:cs="Arial"/>
              </w:rPr>
              <w:t xml:space="preserve"> [Rat].</w:t>
            </w:r>
          </w:p>
          <w:p w14:paraId="307EDE52" w14:textId="77777777" w:rsidR="00CE0431" w:rsidRDefault="00CE0431" w:rsidP="00B113D7">
            <w:pPr>
              <w:rPr>
                <w:b/>
              </w:rPr>
            </w:pPr>
          </w:p>
          <w:p w14:paraId="0E23BF71" w14:textId="77777777"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5564D7F7" w:rsidR="00B22BB5" w:rsidRDefault="00B22BB5" w:rsidP="00B22BB5">
            <w:pPr>
              <w:rPr>
                <w:b/>
              </w:rPr>
            </w:pPr>
            <w:r>
              <w:t xml:space="preserve">The Safety Data Sheet (SDS) for </w:t>
            </w:r>
            <w:r w:rsidR="001C16EE">
              <w:t>Phosphoric</w:t>
            </w:r>
            <w:r>
              <w:t xml:space="preserve"> 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7416101B" w:rsidR="00B22BB5" w:rsidRDefault="00B22BB5" w:rsidP="00B22BB5">
            <w:r w:rsidRPr="001D65E2">
              <w:rPr>
                <w:u w:val="single"/>
              </w:rPr>
              <w:t>Labeling</w:t>
            </w:r>
            <w:r>
              <w:t xml:space="preserve">: </w:t>
            </w:r>
            <w:r w:rsidR="001C16EE">
              <w:t>Phosphoric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59D86DC3" w:rsidR="00B22BB5" w:rsidRDefault="00B22BB5" w:rsidP="00B22BB5">
            <w:r>
              <w:t xml:space="preserve">Wear nitrile, neoprene, butyl, </w:t>
            </w:r>
            <w:proofErr w:type="gramStart"/>
            <w:r>
              <w:t>Viton</w:t>
            </w:r>
            <w:proofErr w:type="gramEnd"/>
            <w:r w:rsidR="0058148E">
              <w:t xml:space="preserve"> or polyvinyl chloride (PVC)</w:t>
            </w:r>
            <w:r>
              <w:t xml:space="preserve"> gloves, chemical splash goggles, and a fully buttoned lab coat at the minimum. Double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 xml:space="preserve">Full length pants and close-toed shoes are required to be </w:t>
            </w:r>
            <w:proofErr w:type="gramStart"/>
            <w:r>
              <w:t>worn at all times</w:t>
            </w:r>
            <w:proofErr w:type="gramEnd"/>
            <w:r>
              <w:t>.</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5A89BF68" w:rsidR="00B22BB5" w:rsidRDefault="00B22BB5" w:rsidP="00B22BB5">
            <w:r w:rsidRPr="00352450">
              <w:rPr>
                <w:b/>
              </w:rPr>
              <w:t xml:space="preserve">Waste </w:t>
            </w:r>
            <w:r w:rsidR="001C16EE">
              <w:rPr>
                <w:b/>
              </w:rPr>
              <w:t>Phosphoric</w:t>
            </w:r>
            <w:r w:rsidRPr="00352450">
              <w:rPr>
                <w:b/>
              </w:rPr>
              <w:t xml:space="preserve"> Acid</w:t>
            </w:r>
            <w:r>
              <w:t xml:space="preserve"> must be managed as Dangerous Waste if the solution has a pH of 6 or lower. Collect solution in a compatible container (</w:t>
            </w:r>
            <w:proofErr w:type="gramStart"/>
            <w:r>
              <w:t>e.g.</w:t>
            </w:r>
            <w:proofErr w:type="gramEnd"/>
            <w:r>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788A23F9"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1C16EE">
              <w:rPr>
                <w:b/>
                <w:bCs/>
                <w:color w:val="FF0000"/>
              </w:rPr>
              <w:t>Phosphoric</w:t>
            </w:r>
            <w:r>
              <w:rPr>
                <w:b/>
                <w:bCs/>
                <w:color w:val="FF0000"/>
              </w:rPr>
              <w:t xml:space="preserve"> 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lastRenderedPageBreak/>
              <w:t xml:space="preserve">       INFORMATION</w:t>
            </w:r>
          </w:p>
          <w:p w14:paraId="3CF8F073" w14:textId="77777777" w:rsidR="003E3CD1" w:rsidRDefault="003E3CD1"/>
        </w:tc>
        <w:tc>
          <w:tcPr>
            <w:tcW w:w="7650" w:type="dxa"/>
          </w:tcPr>
          <w:p w14:paraId="4541D8BB" w14:textId="537380E9" w:rsidR="00B22BB5" w:rsidRDefault="00B22BB5" w:rsidP="00B22BB5">
            <w:r>
              <w:lastRenderedPageBreak/>
              <w:t xml:space="preserve">The </w:t>
            </w:r>
            <w:r w:rsidR="001C16EE">
              <w:t>Phosphoric</w:t>
            </w:r>
            <w:r>
              <w:t xml:space="preserve"> acid is stored and dispensed in </w:t>
            </w:r>
            <w:r w:rsidRPr="005F2E52">
              <w:rPr>
                <w:b/>
                <w:color w:val="FF0000"/>
              </w:rPr>
              <w:t>Building, Room</w:t>
            </w:r>
            <w:r>
              <w:rPr>
                <w:b/>
                <w:color w:val="0000FF"/>
              </w:rPr>
              <w:t>.</w:t>
            </w:r>
          </w:p>
          <w:p w14:paraId="0A2451EF" w14:textId="77777777" w:rsidR="00B22BB5" w:rsidRDefault="00B22BB5" w:rsidP="00B22BB5"/>
          <w:p w14:paraId="2E67E2B1" w14:textId="77777777" w:rsidR="00B22BB5" w:rsidRDefault="00B22BB5" w:rsidP="00B22BB5">
            <w:r>
              <w:t xml:space="preserve">Diluted acid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41FE1332" w:rsidR="00B22BB5" w:rsidRPr="00D3385C" w:rsidRDefault="00B22BB5" w:rsidP="00B22BB5">
            <w:pPr>
              <w:rPr>
                <w:b/>
              </w:rPr>
            </w:pPr>
            <w:r w:rsidRPr="00D3385C">
              <w:rPr>
                <w:b/>
              </w:rPr>
              <w:t xml:space="preserve">Confine all work with </w:t>
            </w:r>
            <w:r w:rsidR="001C16EE">
              <w:rPr>
                <w:b/>
              </w:rPr>
              <w:t>Phosphoric</w:t>
            </w:r>
            <w:r w:rsidRPr="00D3385C">
              <w:rPr>
                <w:b/>
              </w:rPr>
              <w:t xml:space="preserve"> acid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7719FE61" w:rsidR="00B22BB5" w:rsidRDefault="00B22BB5" w:rsidP="00B22BB5">
            <w:r>
              <w:t>The designated area(s) should be shown on the floor plan in Laborator</w:t>
            </w:r>
            <w:r w:rsidR="00501DD3">
              <w:t>y’s</w:t>
            </w:r>
            <w:r>
              <w:t xml:space="preserve"> Chemical Hygiene Plan. </w:t>
            </w:r>
          </w:p>
          <w:p w14:paraId="123BEE89" w14:textId="77777777" w:rsidR="00B22BB5" w:rsidRDefault="00B22BB5" w:rsidP="00B22BB5"/>
          <w:p w14:paraId="5FD12360" w14:textId="40CEE067" w:rsidR="00540E38" w:rsidRPr="00B22BB5" w:rsidRDefault="00B22BB5" w:rsidP="00540E38">
            <w:pPr>
              <w:rPr>
                <w:b/>
                <w:bCs/>
              </w:rPr>
            </w:pPr>
            <w:r w:rsidRPr="0069320B">
              <w:rPr>
                <w:b/>
                <w:bCs/>
                <w:color w:val="FF0000"/>
              </w:rPr>
              <w:t xml:space="preserve">Insert lab specific information on </w:t>
            </w:r>
            <w:r w:rsidR="001C16EE">
              <w:rPr>
                <w:b/>
                <w:bCs/>
                <w:color w:val="FF0000"/>
              </w:rPr>
              <w:t>Phosphoric</w:t>
            </w:r>
            <w:r>
              <w:rPr>
                <w:b/>
                <w:bCs/>
                <w:color w:val="FF0000"/>
              </w:rPr>
              <w:t xml:space="preserve"> acid</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68965D7A" w14:textId="77777777" w:rsidR="00540E38" w:rsidRDefault="00540E38" w:rsidP="00540E38">
            <w:r>
              <w:t xml:space="preserve">In case of </w:t>
            </w:r>
            <w:r w:rsidRPr="00911C13">
              <w:rPr>
                <w:b/>
              </w:rPr>
              <w:t>inhalation</w:t>
            </w:r>
            <w:r>
              <w:t xml:space="preserve">, move person to fresh air and seek medical attention.  </w:t>
            </w:r>
          </w:p>
          <w:p w14:paraId="6B8D0C80" w14:textId="77777777" w:rsidR="00540E38" w:rsidRDefault="00540E38" w:rsidP="00540E38"/>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49EC341F" w:rsidR="00B22BB5" w:rsidRPr="00071EDE" w:rsidRDefault="00B22BB5" w:rsidP="00B22BB5">
            <w:r>
              <w:rPr>
                <w:b/>
              </w:rPr>
              <w:t>Large Release</w:t>
            </w:r>
            <w:r w:rsidRPr="00071EDE">
              <w:rPr>
                <w:b/>
              </w:rPr>
              <w:t>:</w:t>
            </w:r>
            <w:r w:rsidRPr="00071EDE">
              <w:t xml:space="preserve">  If a significant amount of </w:t>
            </w:r>
            <w:r w:rsidR="00BE1266">
              <w:t>Phosphoric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5F0DD5">
              <w:t>9000</w:t>
            </w:r>
            <w:r>
              <w:t>.</w:t>
            </w:r>
            <w:r w:rsidRPr="00071EDE">
              <w:t xml:space="preserve">  </w:t>
            </w:r>
          </w:p>
          <w:p w14:paraId="6B90D148" w14:textId="77777777" w:rsidR="00B22BB5" w:rsidRPr="00D80E1D" w:rsidRDefault="00B22BB5" w:rsidP="00B22BB5">
            <w:pPr>
              <w:rPr>
                <w:highlight w:val="cyan"/>
              </w:rPr>
            </w:pPr>
          </w:p>
          <w:p w14:paraId="2DB99C89" w14:textId="77B08B94"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BE1266">
              <w:t>Phosphoric</w:t>
            </w:r>
            <w:r>
              <w:t xml:space="preserve"> acid is spilled, (</w:t>
            </w:r>
            <w:proofErr w:type="gramStart"/>
            <w:r>
              <w:t>e.g.</w:t>
            </w:r>
            <w:proofErr w:type="gramEnd"/>
            <w:r>
              <w:t xml:space="preserve"> it can be cleaned up in 10 minutes) and you have been appropriately trained to clean it up, you may do so.  Trained personnel should wear at minimum, nitrile, neoprene, butyl</w:t>
            </w:r>
            <w:r w:rsidR="00887F59">
              <w:t xml:space="preserve">, </w:t>
            </w:r>
            <w:r>
              <w:t>Viton</w:t>
            </w:r>
            <w:r w:rsidR="00887F59">
              <w:t xml:space="preserve"> or polyvinyl chloride (PVC)</w:t>
            </w:r>
            <w:r>
              <w:t xml:space="preserve"> gloves, chemical splash goggles, and a </w:t>
            </w:r>
            <w:proofErr w:type="gramStart"/>
            <w:r>
              <w:t>fully-buttoned</w:t>
            </w:r>
            <w:proofErr w:type="gramEnd"/>
            <w:r>
              <w:t xml:space="preserve"> lab coat.</w:t>
            </w:r>
          </w:p>
          <w:p w14:paraId="44B70478" w14:textId="77777777" w:rsidR="00B22BB5" w:rsidRDefault="00B22BB5" w:rsidP="00B22BB5">
            <w:pPr>
              <w:autoSpaceDE w:val="0"/>
              <w:autoSpaceDN w:val="0"/>
              <w:adjustRightInd w:val="0"/>
            </w:pPr>
          </w:p>
          <w:p w14:paraId="3C333B1F" w14:textId="77777777" w:rsidR="00B22BB5" w:rsidRDefault="00B22BB5" w:rsidP="00B22BB5">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7D13AEC5" w:rsidR="00B22BB5" w:rsidRDefault="00B22BB5" w:rsidP="00B22BB5">
            <w:r>
              <w:t xml:space="preserve">As with all accidents, report any exposure as soon as possible to your Principal Investigator or Supervisor. Additional health and safety information on </w:t>
            </w:r>
            <w:r w:rsidR="00BE1266">
              <w:t>Phosph</w:t>
            </w:r>
            <w:r>
              <w:t>oric acid can be obtained by referring to the SDS or by calling the EH&amp;S Office (335-3041).</w:t>
            </w:r>
          </w:p>
          <w:p w14:paraId="1B9C7033" w14:textId="77777777" w:rsidR="00B22BB5" w:rsidRDefault="00B22BB5" w:rsidP="00B22BB5"/>
          <w:p w14:paraId="109A24AF" w14:textId="574982E5" w:rsidR="003E3CD1" w:rsidRDefault="00B22BB5" w:rsidP="00B22BB5">
            <w:r w:rsidRPr="009B1B62">
              <w:rPr>
                <w:b/>
                <w:bCs/>
                <w:color w:val="FF0000"/>
              </w:rPr>
              <w:t xml:space="preserve">Insert lab specific information on </w:t>
            </w:r>
            <w:r w:rsidR="00BE1266">
              <w:rPr>
                <w:b/>
                <w:bCs/>
                <w:color w:val="FF0000"/>
              </w:rPr>
              <w:t>Phosph</w:t>
            </w:r>
            <w:r>
              <w:rPr>
                <w:b/>
                <w:bCs/>
                <w:color w:val="FF0000"/>
              </w:rPr>
              <w:t>oric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66C27BE8" w:rsidR="00A7397A" w:rsidRDefault="00A7397A" w:rsidP="00A7397A">
            <w:pPr>
              <w:pStyle w:val="ListParagraph"/>
              <w:numPr>
                <w:ilvl w:val="0"/>
                <w:numId w:val="8"/>
              </w:numPr>
              <w:autoSpaceDE w:val="0"/>
              <w:autoSpaceDN w:val="0"/>
              <w:adjustRightInd w:val="0"/>
              <w:ind w:left="226" w:hanging="270"/>
            </w:pPr>
            <w:r>
              <w:t xml:space="preserve">Store </w:t>
            </w:r>
            <w:r w:rsidR="00BE1266">
              <w:t>Phosph</w:t>
            </w:r>
            <w:r>
              <w:t xml:space="preserve">oric acid containers upright in a designated, labeled area such as a chemical storage cabinet. Secondary containment </w:t>
            </w:r>
            <w:r w:rsidRPr="00DE03B6">
              <w:t>such as a Nalgene/polypropylene tub</w:t>
            </w:r>
            <w:r>
              <w:t xml:space="preserve"> is recommended. </w:t>
            </w:r>
            <w:r w:rsidR="00BE1266">
              <w:t>Phosphoric</w:t>
            </w:r>
            <w:r>
              <w:t xml:space="preserve">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49D8576E" w:rsidR="00A7397A" w:rsidRPr="00DD2CC6" w:rsidRDefault="00A7397A" w:rsidP="00A7397A">
            <w:pPr>
              <w:pStyle w:val="ListParagraph"/>
              <w:numPr>
                <w:ilvl w:val="0"/>
                <w:numId w:val="8"/>
              </w:numPr>
              <w:autoSpaceDE w:val="0"/>
              <w:autoSpaceDN w:val="0"/>
              <w:adjustRightInd w:val="0"/>
              <w:ind w:left="226" w:hanging="270"/>
            </w:pPr>
            <w:r>
              <w:t xml:space="preserve">Store </w:t>
            </w:r>
            <w:r w:rsidR="00BE1266">
              <w:t>Phosph</w:t>
            </w:r>
            <w:r>
              <w:t xml:space="preserve">oric acid in a designated, labeled, secure storage area away from other types of chemicals. Avoid incompatible chemicals such as </w:t>
            </w:r>
            <w:r w:rsidR="00D55A25">
              <w:t xml:space="preserve">strong acids and bases, amines, epoxides, alcohols, metals, metal salts, </w:t>
            </w:r>
            <w:proofErr w:type="gramStart"/>
            <w:r w:rsidR="00D55A25">
              <w:t>organics</w:t>
            </w:r>
            <w:proofErr w:type="gramEnd"/>
            <w:r w:rsidR="00D55A25">
              <w:t xml:space="preserve"> and combustibles </w:t>
            </w:r>
            <w:r>
              <w:t xml:space="preserve">(refer to Section 10 of SDS). If storage space is limited, </w:t>
            </w:r>
            <w:r w:rsidRPr="00DE03B6">
              <w:t>use secondary containment such as a Nalgene/polypropylene tub</w:t>
            </w:r>
            <w:r>
              <w:t>s</w:t>
            </w:r>
            <w:r>
              <w:rPr>
                <w:rFonts w:cs="Arial"/>
              </w:rPr>
              <w:t>.</w:t>
            </w:r>
          </w:p>
          <w:p w14:paraId="158118FF" w14:textId="77777777" w:rsidR="00A7397A" w:rsidRDefault="00A7397A" w:rsidP="00A7397A">
            <w:pPr>
              <w:pStyle w:val="ListParagraph"/>
            </w:pPr>
          </w:p>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348A15A9" w:rsidR="00A7397A" w:rsidRDefault="00A7397A" w:rsidP="00A7397A">
            <w:pPr>
              <w:pStyle w:val="ListParagraph"/>
              <w:numPr>
                <w:ilvl w:val="0"/>
                <w:numId w:val="8"/>
              </w:numPr>
              <w:autoSpaceDE w:val="0"/>
              <w:autoSpaceDN w:val="0"/>
              <w:adjustRightInd w:val="0"/>
              <w:ind w:left="226" w:hanging="270"/>
            </w:pPr>
            <w:r>
              <w:t xml:space="preserve">Transport </w:t>
            </w:r>
            <w:r w:rsidR="00BE1266">
              <w:t>Phosph</w:t>
            </w:r>
            <w:r>
              <w:t>oric acid 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63BD7AB9"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 xml:space="preserve">on </w:t>
            </w:r>
            <w:r w:rsidR="00BE1266">
              <w:rPr>
                <w:b/>
                <w:bCs/>
                <w:color w:val="FF0000"/>
              </w:rPr>
              <w:t>Phosph</w:t>
            </w:r>
            <w:r>
              <w:rPr>
                <w:b/>
                <w:bCs/>
                <w:color w:val="FF0000"/>
              </w:rPr>
              <w:t xml:space="preserve">oric acid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EF0D751" w14:textId="77777777" w:rsidR="00684850" w:rsidRDefault="00684850" w:rsidP="00940D67">
      <w:pPr>
        <w:spacing w:after="200" w:line="276" w:lineRule="auto"/>
        <w:jc w:val="center"/>
        <w:rPr>
          <w:rFonts w:ascii="Times New Roman" w:eastAsia="Calibri" w:hAnsi="Times New Roman"/>
          <w:b/>
          <w:sz w:val="28"/>
          <w:szCs w:val="28"/>
        </w:rPr>
      </w:pPr>
    </w:p>
    <w:p w14:paraId="08812C59" w14:textId="77777777" w:rsidR="00684850" w:rsidRDefault="00684850" w:rsidP="00940D67">
      <w:pPr>
        <w:spacing w:after="200" w:line="276" w:lineRule="auto"/>
        <w:jc w:val="center"/>
        <w:rPr>
          <w:rFonts w:ascii="Times New Roman" w:eastAsia="Calibri" w:hAnsi="Times New Roman"/>
          <w:b/>
          <w:sz w:val="28"/>
          <w:szCs w:val="28"/>
        </w:rPr>
      </w:pPr>
    </w:p>
    <w:p w14:paraId="31A3CFD6" w14:textId="77777777" w:rsidR="00B378CA" w:rsidRDefault="00B378CA">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0462C5C0"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BE1266">
        <w:rPr>
          <w:rFonts w:eastAsia="Calibri" w:cs="Arial"/>
          <w:bCs/>
        </w:rPr>
        <w:t>Phospho</w:t>
      </w:r>
      <w:r>
        <w:rPr>
          <w:rFonts w:eastAsia="Calibri" w:cs="Arial"/>
          <w:bCs/>
        </w:rPr>
        <w:t xml:space="preserve">ric acid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40F8C"/>
    <w:multiLevelType w:val="hybridMultilevel"/>
    <w:tmpl w:val="3DF8D8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2"/>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3"/>
  </w:num>
  <w:num w:numId="8" w16cid:durableId="42103209">
    <w:abstractNumId w:val="1"/>
  </w:num>
  <w:num w:numId="9" w16cid:durableId="821964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71EDE"/>
    <w:rsid w:val="00077942"/>
    <w:rsid w:val="00091169"/>
    <w:rsid w:val="00094416"/>
    <w:rsid w:val="000B39EE"/>
    <w:rsid w:val="000C31AA"/>
    <w:rsid w:val="000C4618"/>
    <w:rsid w:val="00130C03"/>
    <w:rsid w:val="001863CF"/>
    <w:rsid w:val="0019114C"/>
    <w:rsid w:val="001B4386"/>
    <w:rsid w:val="001C16EE"/>
    <w:rsid w:val="001D4676"/>
    <w:rsid w:val="001E2EE4"/>
    <w:rsid w:val="00202743"/>
    <w:rsid w:val="002266CB"/>
    <w:rsid w:val="00293BE3"/>
    <w:rsid w:val="002A2444"/>
    <w:rsid w:val="002D3B36"/>
    <w:rsid w:val="00332078"/>
    <w:rsid w:val="00352450"/>
    <w:rsid w:val="003958C1"/>
    <w:rsid w:val="003A075E"/>
    <w:rsid w:val="003A50A7"/>
    <w:rsid w:val="003E3CD1"/>
    <w:rsid w:val="003F3B65"/>
    <w:rsid w:val="00412294"/>
    <w:rsid w:val="004375C2"/>
    <w:rsid w:val="00446496"/>
    <w:rsid w:val="0048157D"/>
    <w:rsid w:val="00482058"/>
    <w:rsid w:val="004B23FC"/>
    <w:rsid w:val="00501DD3"/>
    <w:rsid w:val="005130F9"/>
    <w:rsid w:val="00513C42"/>
    <w:rsid w:val="00540E38"/>
    <w:rsid w:val="00550E79"/>
    <w:rsid w:val="0058148E"/>
    <w:rsid w:val="005B2F1B"/>
    <w:rsid w:val="005B3FB6"/>
    <w:rsid w:val="005D0CC8"/>
    <w:rsid w:val="005D4BF4"/>
    <w:rsid w:val="005F0DD5"/>
    <w:rsid w:val="00604919"/>
    <w:rsid w:val="006369D7"/>
    <w:rsid w:val="00684850"/>
    <w:rsid w:val="006B1463"/>
    <w:rsid w:val="006C6441"/>
    <w:rsid w:val="006D6D9E"/>
    <w:rsid w:val="006F1075"/>
    <w:rsid w:val="00705BEA"/>
    <w:rsid w:val="00722BEA"/>
    <w:rsid w:val="00724A79"/>
    <w:rsid w:val="00767138"/>
    <w:rsid w:val="007B7D7E"/>
    <w:rsid w:val="008153EC"/>
    <w:rsid w:val="00824106"/>
    <w:rsid w:val="008458B1"/>
    <w:rsid w:val="00885C8B"/>
    <w:rsid w:val="00887F59"/>
    <w:rsid w:val="008E542D"/>
    <w:rsid w:val="00906280"/>
    <w:rsid w:val="00907E7B"/>
    <w:rsid w:val="0091129F"/>
    <w:rsid w:val="009120F7"/>
    <w:rsid w:val="00927E88"/>
    <w:rsid w:val="00940A44"/>
    <w:rsid w:val="00940D67"/>
    <w:rsid w:val="00957DB2"/>
    <w:rsid w:val="00981A4D"/>
    <w:rsid w:val="00993F6D"/>
    <w:rsid w:val="009F08FA"/>
    <w:rsid w:val="009F16B2"/>
    <w:rsid w:val="00A124D0"/>
    <w:rsid w:val="00A25172"/>
    <w:rsid w:val="00A27893"/>
    <w:rsid w:val="00A52324"/>
    <w:rsid w:val="00A7397A"/>
    <w:rsid w:val="00AC1B9F"/>
    <w:rsid w:val="00AD30CC"/>
    <w:rsid w:val="00AE0CC4"/>
    <w:rsid w:val="00AE3463"/>
    <w:rsid w:val="00AF41CE"/>
    <w:rsid w:val="00B0388D"/>
    <w:rsid w:val="00B113D7"/>
    <w:rsid w:val="00B22BB5"/>
    <w:rsid w:val="00B378CA"/>
    <w:rsid w:val="00B62905"/>
    <w:rsid w:val="00B92662"/>
    <w:rsid w:val="00BA031F"/>
    <w:rsid w:val="00BA2A61"/>
    <w:rsid w:val="00BA7BB5"/>
    <w:rsid w:val="00BB4092"/>
    <w:rsid w:val="00BD32D6"/>
    <w:rsid w:val="00BE1266"/>
    <w:rsid w:val="00C04DD1"/>
    <w:rsid w:val="00C30951"/>
    <w:rsid w:val="00C4370F"/>
    <w:rsid w:val="00C9780D"/>
    <w:rsid w:val="00CA3E9F"/>
    <w:rsid w:val="00CD4E2B"/>
    <w:rsid w:val="00CE0431"/>
    <w:rsid w:val="00CE627C"/>
    <w:rsid w:val="00CF3641"/>
    <w:rsid w:val="00CF6FC9"/>
    <w:rsid w:val="00D17B58"/>
    <w:rsid w:val="00D2140C"/>
    <w:rsid w:val="00D55A25"/>
    <w:rsid w:val="00D80E1D"/>
    <w:rsid w:val="00D9342E"/>
    <w:rsid w:val="00DE4013"/>
    <w:rsid w:val="00E0375B"/>
    <w:rsid w:val="00E05A80"/>
    <w:rsid w:val="00E40AC3"/>
    <w:rsid w:val="00E5789E"/>
    <w:rsid w:val="00E62B49"/>
    <w:rsid w:val="00E66433"/>
    <w:rsid w:val="00E8646F"/>
    <w:rsid w:val="00EB637C"/>
    <w:rsid w:val="00F04F6C"/>
    <w:rsid w:val="00F13C16"/>
    <w:rsid w:val="00F6274A"/>
    <w:rsid w:val="00F678BF"/>
    <w:rsid w:val="00F74B81"/>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171379988">
      <w:bodyDiv w:val="1"/>
      <w:marLeft w:val="0"/>
      <w:marRight w:val="0"/>
      <w:marTop w:val="0"/>
      <w:marBottom w:val="0"/>
      <w:divBdr>
        <w:top w:val="none" w:sz="0" w:space="0" w:color="auto"/>
        <w:left w:val="none" w:sz="0" w:space="0" w:color="auto"/>
        <w:bottom w:val="none" w:sz="0" w:space="0" w:color="auto"/>
        <w:right w:val="none" w:sz="0" w:space="0" w:color="auto"/>
      </w:divBdr>
    </w:div>
    <w:div w:id="253823338">
      <w:bodyDiv w:val="1"/>
      <w:marLeft w:val="0"/>
      <w:marRight w:val="0"/>
      <w:marTop w:val="0"/>
      <w:marBottom w:val="0"/>
      <w:divBdr>
        <w:top w:val="none" w:sz="0" w:space="0" w:color="auto"/>
        <w:left w:val="none" w:sz="0" w:space="0" w:color="auto"/>
        <w:bottom w:val="none" w:sz="0" w:space="0" w:color="auto"/>
        <w:right w:val="none" w:sz="0" w:space="0" w:color="auto"/>
      </w:divBdr>
    </w:div>
    <w:div w:id="287012633">
      <w:bodyDiv w:val="1"/>
      <w:marLeft w:val="0"/>
      <w:marRight w:val="0"/>
      <w:marTop w:val="0"/>
      <w:marBottom w:val="0"/>
      <w:divBdr>
        <w:top w:val="none" w:sz="0" w:space="0" w:color="auto"/>
        <w:left w:val="none" w:sz="0" w:space="0" w:color="auto"/>
        <w:bottom w:val="none" w:sz="0" w:space="0" w:color="auto"/>
        <w:right w:val="none" w:sz="0" w:space="0" w:color="auto"/>
      </w:divBdr>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13</cp:revision>
  <cp:lastPrinted>2006-08-31T21:46:00Z</cp:lastPrinted>
  <dcterms:created xsi:type="dcterms:W3CDTF">2024-06-27T16:00:00Z</dcterms:created>
  <dcterms:modified xsi:type="dcterms:W3CDTF">2024-06-27T18:00:00Z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