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43F756BF" w:rsidR="008153EC" w:rsidRDefault="00634829" w:rsidP="00A121AD">
      <w:pPr>
        <w:pStyle w:val="Heading2"/>
        <w:rPr>
          <w:b w:val="0"/>
          <w:bCs/>
          <w:sz w:val="28"/>
          <w:szCs w:val="28"/>
        </w:rPr>
      </w:pPr>
      <w:r>
        <w:rPr>
          <w:b w:val="0"/>
          <w:bCs/>
          <w:sz w:val="28"/>
          <w:szCs w:val="28"/>
        </w:rPr>
        <w:t>Ino</w:t>
      </w:r>
      <w:r w:rsidR="00B13828" w:rsidRPr="00F11E85">
        <w:rPr>
          <w:b w:val="0"/>
          <w:bCs/>
          <w:sz w:val="28"/>
          <w:szCs w:val="28"/>
        </w:rPr>
        <w:t>rganic</w:t>
      </w:r>
      <w:r w:rsidR="00A121AD" w:rsidRPr="00F11E85">
        <w:rPr>
          <w:b w:val="0"/>
          <w:bCs/>
          <w:sz w:val="28"/>
          <w:szCs w:val="28"/>
        </w:rPr>
        <w:t xml:space="preserve"> Acid</w:t>
      </w:r>
      <w:r w:rsidR="00B13828" w:rsidRPr="00F11E85">
        <w:rPr>
          <w:b w:val="0"/>
          <w:bCs/>
          <w:sz w:val="28"/>
          <w:szCs w:val="28"/>
        </w:rPr>
        <w:t>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1E19F0">
        <w:trPr>
          <w:trHeight w:val="3509"/>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07D78549" w:rsidR="007A2ACF" w:rsidRDefault="00B96D2D" w:rsidP="00A52324">
            <w:pPr>
              <w:rPr>
                <w:rFonts w:cs="Arial"/>
                <w:b/>
              </w:rPr>
            </w:pPr>
            <w:r>
              <w:rPr>
                <w:rFonts w:cs="Arial"/>
                <w:b/>
                <w:u w:val="single"/>
              </w:rPr>
              <w:t xml:space="preserve">Examples of </w:t>
            </w:r>
            <w:r w:rsidR="00634829">
              <w:rPr>
                <w:rFonts w:cs="Arial"/>
                <w:b/>
                <w:u w:val="single"/>
              </w:rPr>
              <w:t>Ino</w:t>
            </w:r>
            <w:r w:rsidR="007A2ACF" w:rsidRPr="00526230">
              <w:rPr>
                <w:rFonts w:cs="Arial"/>
                <w:b/>
                <w:u w:val="single"/>
              </w:rPr>
              <w:t>rganic Acids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2A139F" w14:paraId="20595C67" w14:textId="77777777" w:rsidTr="002A139F">
              <w:tc>
                <w:tcPr>
                  <w:tcW w:w="2362" w:type="dxa"/>
                </w:tcPr>
                <w:p w14:paraId="1EED5ABE" w14:textId="30E67F13" w:rsidR="002A139F" w:rsidRDefault="005C43CC" w:rsidP="00A52324">
                  <w:pPr>
                    <w:rPr>
                      <w:rFonts w:cs="Arial"/>
                      <w:bCs/>
                    </w:rPr>
                  </w:pPr>
                  <w:r>
                    <w:rPr>
                      <w:rFonts w:cs="Arial"/>
                      <w:bCs/>
                    </w:rPr>
                    <w:t>Boric acid</w:t>
                  </w:r>
                </w:p>
              </w:tc>
              <w:tc>
                <w:tcPr>
                  <w:tcW w:w="2362" w:type="dxa"/>
                </w:tcPr>
                <w:p w14:paraId="12BEF25C" w14:textId="05496ACE" w:rsidR="002A139F" w:rsidRDefault="005C43CC" w:rsidP="00A52324">
                  <w:pPr>
                    <w:rPr>
                      <w:rFonts w:cs="Arial"/>
                      <w:bCs/>
                    </w:rPr>
                  </w:pPr>
                  <w:r>
                    <w:rPr>
                      <w:rFonts w:cs="Arial"/>
                      <w:bCs/>
                    </w:rPr>
                    <w:t>Hydrobromic acid</w:t>
                  </w:r>
                </w:p>
              </w:tc>
              <w:tc>
                <w:tcPr>
                  <w:tcW w:w="2363" w:type="dxa"/>
                </w:tcPr>
                <w:p w14:paraId="426463E7" w14:textId="3429282A" w:rsidR="002A139F" w:rsidRDefault="005C43CC" w:rsidP="00A52324">
                  <w:pPr>
                    <w:rPr>
                      <w:rFonts w:cs="Arial"/>
                      <w:bCs/>
                    </w:rPr>
                  </w:pPr>
                  <w:r>
                    <w:rPr>
                      <w:rFonts w:cs="Arial"/>
                      <w:bCs/>
                    </w:rPr>
                    <w:t>Hydrochloric acid</w:t>
                  </w:r>
                </w:p>
              </w:tc>
            </w:tr>
            <w:tr w:rsidR="002A139F" w14:paraId="1639ABAE" w14:textId="77777777" w:rsidTr="002A139F">
              <w:tc>
                <w:tcPr>
                  <w:tcW w:w="2362" w:type="dxa"/>
                </w:tcPr>
                <w:p w14:paraId="1F3A99D6" w14:textId="0E81C7B8" w:rsidR="002A139F" w:rsidRDefault="00E8012A" w:rsidP="00A52324">
                  <w:pPr>
                    <w:rPr>
                      <w:rFonts w:cs="Arial"/>
                      <w:bCs/>
                    </w:rPr>
                  </w:pPr>
                  <w:r>
                    <w:rPr>
                      <w:rFonts w:cs="Arial"/>
                      <w:bCs/>
                    </w:rPr>
                    <w:t>Iodic acid</w:t>
                  </w:r>
                </w:p>
              </w:tc>
              <w:tc>
                <w:tcPr>
                  <w:tcW w:w="2362" w:type="dxa"/>
                </w:tcPr>
                <w:p w14:paraId="262C65FC" w14:textId="7DC8D8FB" w:rsidR="002A139F" w:rsidRDefault="00E8012A" w:rsidP="00A52324">
                  <w:pPr>
                    <w:rPr>
                      <w:rFonts w:cs="Arial"/>
                      <w:bCs/>
                    </w:rPr>
                  </w:pPr>
                  <w:r>
                    <w:rPr>
                      <w:rFonts w:cs="Arial"/>
                      <w:bCs/>
                    </w:rPr>
                    <w:t>Hydroiodic acid</w:t>
                  </w:r>
                </w:p>
              </w:tc>
              <w:tc>
                <w:tcPr>
                  <w:tcW w:w="2363" w:type="dxa"/>
                </w:tcPr>
                <w:p w14:paraId="105133B7" w14:textId="78D48E75" w:rsidR="002A139F" w:rsidRDefault="00DF2CE8" w:rsidP="00A52324">
                  <w:pPr>
                    <w:rPr>
                      <w:rFonts w:cs="Arial"/>
                      <w:bCs/>
                    </w:rPr>
                  </w:pPr>
                  <w:r>
                    <w:rPr>
                      <w:rFonts w:cs="Arial"/>
                      <w:bCs/>
                    </w:rPr>
                    <w:t>Meta-Phosphoric acid</w:t>
                  </w:r>
                </w:p>
              </w:tc>
            </w:tr>
            <w:tr w:rsidR="002A139F" w14:paraId="6A472FF6" w14:textId="77777777" w:rsidTr="002A139F">
              <w:tc>
                <w:tcPr>
                  <w:tcW w:w="2362" w:type="dxa"/>
                </w:tcPr>
                <w:p w14:paraId="3D7BEE87" w14:textId="30885609" w:rsidR="002A139F" w:rsidRDefault="00DF2CE8" w:rsidP="00A52324">
                  <w:pPr>
                    <w:rPr>
                      <w:rFonts w:cs="Arial"/>
                      <w:bCs/>
                    </w:rPr>
                  </w:pPr>
                  <w:r>
                    <w:rPr>
                      <w:rFonts w:cs="Arial"/>
                      <w:bCs/>
                    </w:rPr>
                    <w:t>Periodic acid</w:t>
                  </w:r>
                </w:p>
              </w:tc>
              <w:tc>
                <w:tcPr>
                  <w:tcW w:w="2362" w:type="dxa"/>
                </w:tcPr>
                <w:p w14:paraId="567A9359" w14:textId="3F3CD939" w:rsidR="002A139F" w:rsidRDefault="00DF2CE8" w:rsidP="00A52324">
                  <w:pPr>
                    <w:rPr>
                      <w:rFonts w:cs="Arial"/>
                      <w:bCs/>
                    </w:rPr>
                  </w:pPr>
                  <w:r>
                    <w:rPr>
                      <w:rFonts w:cs="Arial"/>
                      <w:bCs/>
                    </w:rPr>
                    <w:t>Phosphoric acid</w:t>
                  </w:r>
                </w:p>
              </w:tc>
              <w:tc>
                <w:tcPr>
                  <w:tcW w:w="2363" w:type="dxa"/>
                </w:tcPr>
                <w:p w14:paraId="3773A329" w14:textId="78AE095F" w:rsidR="002A139F" w:rsidRDefault="00DF2CE8" w:rsidP="00A52324">
                  <w:pPr>
                    <w:rPr>
                      <w:rFonts w:cs="Arial"/>
                      <w:bCs/>
                    </w:rPr>
                  </w:pPr>
                  <w:r>
                    <w:rPr>
                      <w:rFonts w:cs="Arial"/>
                      <w:bCs/>
                    </w:rPr>
                    <w:t>Phosphorous acid</w:t>
                  </w:r>
                </w:p>
              </w:tc>
            </w:tr>
            <w:tr w:rsidR="002A139F" w14:paraId="423509D8" w14:textId="77777777" w:rsidTr="002A139F">
              <w:tc>
                <w:tcPr>
                  <w:tcW w:w="2362" w:type="dxa"/>
                </w:tcPr>
                <w:p w14:paraId="4807E8ED" w14:textId="0BEE6629" w:rsidR="002A139F" w:rsidRDefault="00DF2CE8" w:rsidP="00A52324">
                  <w:pPr>
                    <w:rPr>
                      <w:rFonts w:cs="Arial"/>
                      <w:bCs/>
                    </w:rPr>
                  </w:pPr>
                  <w:r>
                    <w:rPr>
                      <w:rFonts w:cs="Arial"/>
                      <w:bCs/>
                    </w:rPr>
                    <w:t>Silicic acid</w:t>
                  </w:r>
                </w:p>
              </w:tc>
              <w:tc>
                <w:tcPr>
                  <w:tcW w:w="2362" w:type="dxa"/>
                </w:tcPr>
                <w:p w14:paraId="727FAFE6" w14:textId="5785F212" w:rsidR="002A139F" w:rsidRDefault="00DF2CE8" w:rsidP="00A52324">
                  <w:pPr>
                    <w:rPr>
                      <w:rFonts w:cs="Arial"/>
                      <w:bCs/>
                    </w:rPr>
                  </w:pPr>
                  <w:r>
                    <w:rPr>
                      <w:rFonts w:cs="Arial"/>
                      <w:bCs/>
                    </w:rPr>
                    <w:t>Sulfamic acid</w:t>
                  </w:r>
                </w:p>
              </w:tc>
              <w:tc>
                <w:tcPr>
                  <w:tcW w:w="2363" w:type="dxa"/>
                </w:tcPr>
                <w:p w14:paraId="278C08A9" w14:textId="752EBA09" w:rsidR="002A139F" w:rsidRDefault="00DF2CE8" w:rsidP="00A52324">
                  <w:pPr>
                    <w:rPr>
                      <w:rFonts w:cs="Arial"/>
                      <w:bCs/>
                    </w:rPr>
                  </w:pPr>
                  <w:r>
                    <w:rPr>
                      <w:rFonts w:cs="Arial"/>
                      <w:bCs/>
                    </w:rPr>
                    <w:t>Sulfuric acid</w:t>
                  </w:r>
                </w:p>
              </w:tc>
            </w:tr>
            <w:tr w:rsidR="00AA7BB3" w14:paraId="1A82DA09" w14:textId="77777777" w:rsidTr="002A139F">
              <w:tc>
                <w:tcPr>
                  <w:tcW w:w="2362" w:type="dxa"/>
                </w:tcPr>
                <w:p w14:paraId="4FE401B6" w14:textId="2E5AEFE6" w:rsidR="00AA7BB3" w:rsidRDefault="00AA7BB3" w:rsidP="00A52324">
                  <w:pPr>
                    <w:rPr>
                      <w:rFonts w:cs="Arial"/>
                      <w:bCs/>
                    </w:rPr>
                  </w:pPr>
                  <w:r>
                    <w:rPr>
                      <w:rFonts w:cs="Arial"/>
                      <w:bCs/>
                    </w:rPr>
                    <w:t>Sulfurous acid</w:t>
                  </w:r>
                </w:p>
              </w:tc>
              <w:tc>
                <w:tcPr>
                  <w:tcW w:w="2362" w:type="dxa"/>
                </w:tcPr>
                <w:p w14:paraId="79228F29" w14:textId="3EC4223D" w:rsidR="00AA7BB3" w:rsidRDefault="00AA7BB3" w:rsidP="00A52324">
                  <w:pPr>
                    <w:rPr>
                      <w:rFonts w:cs="Arial"/>
                      <w:bCs/>
                    </w:rPr>
                  </w:pPr>
                  <w:proofErr w:type="spellStart"/>
                  <w:r>
                    <w:rPr>
                      <w:rFonts w:cs="Arial"/>
                      <w:bCs/>
                    </w:rPr>
                    <w:t>Tetrafluoroboric</w:t>
                  </w:r>
                  <w:proofErr w:type="spellEnd"/>
                  <w:r>
                    <w:rPr>
                      <w:rFonts w:cs="Arial"/>
                      <w:bCs/>
                    </w:rPr>
                    <w:t xml:space="preserve"> acid</w:t>
                  </w:r>
                </w:p>
              </w:tc>
              <w:tc>
                <w:tcPr>
                  <w:tcW w:w="2363" w:type="dxa"/>
                </w:tcPr>
                <w:p w14:paraId="3DDB20B7" w14:textId="5E0EAB6E" w:rsidR="00AA7BB3" w:rsidRDefault="00AA7BB3" w:rsidP="00A52324">
                  <w:pPr>
                    <w:rPr>
                      <w:rFonts w:cs="Arial"/>
                      <w:bCs/>
                    </w:rPr>
                  </w:pPr>
                  <w:r>
                    <w:rPr>
                      <w:rFonts w:cs="Arial"/>
                      <w:bCs/>
                    </w:rPr>
                    <w:t>Nitric acid*</w:t>
                  </w:r>
                </w:p>
              </w:tc>
            </w:tr>
          </w:tbl>
          <w:p w14:paraId="14795406" w14:textId="4A4A65CA" w:rsidR="00AA7BB3" w:rsidRDefault="00511B52" w:rsidP="00AA7BB3">
            <w:pPr>
              <w:tabs>
                <w:tab w:val="left" w:pos="2952"/>
              </w:tabs>
              <w:spacing w:before="60"/>
            </w:pPr>
            <w:r>
              <w:rPr>
                <w:b/>
                <w:bCs/>
              </w:rPr>
              <w:t>*</w:t>
            </w:r>
            <w:r w:rsidR="00AA7BB3" w:rsidRPr="00511B52">
              <w:t>Note:</w:t>
            </w:r>
            <w:r w:rsidR="00AA7BB3">
              <w:t xml:space="preserve"> Nitric acid is also a strong oxidizer. </w:t>
            </w:r>
          </w:p>
          <w:p w14:paraId="377E80C8" w14:textId="0B1F5306" w:rsidR="00AA7BB3" w:rsidRDefault="00AA7BB3" w:rsidP="00AA7BB3">
            <w:pPr>
              <w:tabs>
                <w:tab w:val="left" w:pos="2952"/>
              </w:tabs>
            </w:pPr>
          </w:p>
          <w:p w14:paraId="018770C9" w14:textId="0F81CA6A" w:rsidR="00AA7BB3" w:rsidRDefault="00AA7BB3" w:rsidP="00F063D6">
            <w:pPr>
              <w:tabs>
                <w:tab w:val="left" w:pos="2952"/>
              </w:tabs>
            </w:pPr>
            <w:r>
              <w:t xml:space="preserve">This SOP supports the use of </w:t>
            </w:r>
            <w:r w:rsidRPr="00AA7BB3">
              <w:rPr>
                <w:b/>
                <w:bCs/>
              </w:rPr>
              <w:t>inorganic acids</w:t>
            </w:r>
            <w:r>
              <w:t>. Inorganic acids derive from inorganic compounds. For the purposes of this SOP, all inorganic acids form hydrogen ions and an anion or conjugate base ions when dissolved in water. Common inorganic acids include hydrochloric acid and sulfuric acid.</w:t>
            </w:r>
          </w:p>
          <w:p w14:paraId="261E2F9B" w14:textId="54E5735C" w:rsidR="00AA7BB3" w:rsidRDefault="00AA7BB3" w:rsidP="00F063D6">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394635E9" w14:textId="4BC9E85C" w:rsidR="0086440A" w:rsidRPr="005B6EB9" w:rsidRDefault="00634829" w:rsidP="000B2958">
            <w:r w:rsidRPr="00AA7BB3">
              <w:rPr>
                <w:b/>
                <w:bCs/>
              </w:rPr>
              <w:t>Ino</w:t>
            </w:r>
            <w:r w:rsidR="00CB45AE" w:rsidRPr="00AA7BB3">
              <w:rPr>
                <w:b/>
                <w:bCs/>
              </w:rPr>
              <w:t>rganic acids</w:t>
            </w:r>
            <w:r w:rsidR="00CB45AE">
              <w:t xml:space="preserve"> can be h</w:t>
            </w:r>
            <w:r w:rsidR="00CB45AE" w:rsidRPr="005B6EB9">
              <w:t>armful when</w:t>
            </w:r>
            <w:r w:rsidR="00CB45AE">
              <w:t xml:space="preserve"> ingested</w:t>
            </w:r>
            <w:r w:rsidR="00AA7BB3">
              <w:t>,</w:t>
            </w:r>
            <w:r w:rsidR="00CB45AE">
              <w:t xml:space="preserve"> absorbed through the skin</w:t>
            </w:r>
            <w:r w:rsidR="00AA7BB3">
              <w:t>, or when vapors are inhaled</w:t>
            </w:r>
            <w:r w:rsidR="00CB45AE">
              <w:t>. They</w:t>
            </w:r>
            <w:r w:rsidR="000B2958">
              <w:t xml:space="preserve"> can c</w:t>
            </w:r>
            <w:r w:rsidR="00436D33" w:rsidRPr="005B6EB9">
              <w:t>ause</w:t>
            </w:r>
            <w:r w:rsidR="00F31AAA">
              <w:t xml:space="preserve"> skin</w:t>
            </w:r>
            <w:r w:rsidR="000B2958">
              <w:t xml:space="preserve"> </w:t>
            </w:r>
            <w:r w:rsidR="00AA7BB3">
              <w:t xml:space="preserve">burns, </w:t>
            </w:r>
            <w:r w:rsidR="000B2958">
              <w:t>irritation,</w:t>
            </w:r>
            <w:r w:rsidR="006914B9" w:rsidRPr="005B6EB9">
              <w:t xml:space="preserve"> and eye damage</w:t>
            </w:r>
            <w:r w:rsidR="000B2958">
              <w:t>, potentially leading to blindness</w:t>
            </w:r>
            <w:r w:rsidR="006914B9" w:rsidRPr="005B6EB9">
              <w:t>.</w:t>
            </w:r>
            <w:r w:rsidR="000B2958">
              <w:t xml:space="preserve"> </w:t>
            </w:r>
            <w:r w:rsidR="000B2958" w:rsidRPr="005B6EB9">
              <w:t xml:space="preserve">Ingestion can cause severe injury </w:t>
            </w:r>
            <w:r w:rsidR="000B2958">
              <w:t xml:space="preserve">to the digestive tract </w:t>
            </w:r>
            <w:r w:rsidR="000B2958" w:rsidRPr="005B6EB9">
              <w:t>leading to death.</w:t>
            </w:r>
            <w:r w:rsidR="000B2958">
              <w:t xml:space="preserve"> Inhalation c</w:t>
            </w:r>
            <w:r w:rsidR="00D24CF9">
              <w:t>an</w:t>
            </w:r>
            <w:r w:rsidR="00572BC0" w:rsidRPr="005B6EB9">
              <w:t xml:space="preserve"> irritate and damage the </w:t>
            </w:r>
            <w:r w:rsidR="000B2958">
              <w:t xml:space="preserve">respiratory tract including </w:t>
            </w:r>
            <w:r w:rsidR="00572BC0" w:rsidRPr="005B6EB9">
              <w:t>nose, throat and lungs</w:t>
            </w:r>
            <w:r w:rsidR="00F063D6">
              <w:t xml:space="preserve"> and cause burning pain in the nose and throat, coughing, wheezing, shortness of breath and pulmonary edema. </w:t>
            </w:r>
            <w:r w:rsidR="001D65E2" w:rsidRPr="005B6EB9">
              <w:t>Fumes can be suffocating.</w:t>
            </w:r>
          </w:p>
          <w:p w14:paraId="7E5A75C3" w14:textId="77777777" w:rsidR="000B2958" w:rsidRDefault="000B2958" w:rsidP="000B2958">
            <w:pPr>
              <w:autoSpaceDE w:val="0"/>
              <w:autoSpaceDN w:val="0"/>
              <w:adjustRightInd w:val="0"/>
            </w:pPr>
          </w:p>
          <w:p w14:paraId="65A69DEB" w14:textId="3883BCBA" w:rsidR="005B6EB9" w:rsidRPr="00572BC0" w:rsidRDefault="00634829" w:rsidP="000B2958">
            <w:pPr>
              <w:autoSpaceDE w:val="0"/>
              <w:autoSpaceDN w:val="0"/>
              <w:adjustRightInd w:val="0"/>
              <w:rPr>
                <w:b/>
                <w:bCs/>
              </w:rPr>
            </w:pPr>
            <w:r>
              <w:rPr>
                <w:b/>
                <w:bCs/>
              </w:rPr>
              <w:t>Ino</w:t>
            </w:r>
            <w:r w:rsidR="005B6EB9" w:rsidRPr="001E1A3D">
              <w:rPr>
                <w:b/>
                <w:bCs/>
              </w:rPr>
              <w:t xml:space="preserve">rganic acids may have </w:t>
            </w:r>
            <w:r w:rsidR="00280221">
              <w:rPr>
                <w:b/>
                <w:bCs/>
              </w:rPr>
              <w:t>additional</w:t>
            </w:r>
            <w:r w:rsidR="005B6EB9" w:rsidRPr="001E1A3D">
              <w:rPr>
                <w:b/>
                <w:bCs/>
              </w:rPr>
              <w:t xml:space="preserve"> hazards associated with them, such as </w:t>
            </w:r>
            <w:r w:rsidR="00AA7BB3">
              <w:rPr>
                <w:b/>
                <w:bCs/>
              </w:rPr>
              <w:t>water reactive</w:t>
            </w:r>
            <w:r w:rsidR="005B6EB9" w:rsidRPr="001E1A3D">
              <w:rPr>
                <w:b/>
                <w:bCs/>
              </w:rPr>
              <w:t>, oxidizer, or toxic.</w:t>
            </w:r>
            <w:r w:rsidR="005B6EB9">
              <w:rPr>
                <w:b/>
                <w:bCs/>
              </w:rPr>
              <w:t xml:space="preserve"> </w:t>
            </w:r>
            <w:r w:rsidR="00280221">
              <w:rPr>
                <w:b/>
                <w:bCs/>
              </w:rPr>
              <w:t xml:space="preserve"> </w:t>
            </w:r>
            <w:r w:rsidR="005B6EB9" w:rsidRPr="005B6EB9">
              <w:rPr>
                <w:b/>
                <w:bCs/>
                <w:color w:val="FF0000"/>
              </w:rPr>
              <w:t xml:space="preserve">Add or delete </w:t>
            </w:r>
            <w:hyperlink r:id="rId7" w:history="1">
              <w:r w:rsidR="00E84206" w:rsidRPr="00E84206">
                <w:rPr>
                  <w:rStyle w:val="Hyperlink"/>
                  <w:b/>
                  <w:bCs/>
                </w:rPr>
                <w:t xml:space="preserve">GHS </w:t>
              </w:r>
              <w:r w:rsidR="005B6EB9" w:rsidRPr="00E84206">
                <w:rPr>
                  <w:rStyle w:val="Hyperlink"/>
                  <w:b/>
                  <w:bCs/>
                </w:rPr>
                <w:t>hazard</w:t>
              </w:r>
              <w:r w:rsidR="00E84206" w:rsidRPr="00E84206">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40132289" w:rsidR="00436D33" w:rsidRPr="00436D33" w:rsidRDefault="000E5D5B" w:rsidP="00896DAC">
            <w:pPr>
              <w:autoSpaceDE w:val="0"/>
              <w:autoSpaceDN w:val="0"/>
              <w:adjustRightInd w:val="0"/>
              <w:rPr>
                <w:bCs/>
              </w:rPr>
            </w:pPr>
            <w:r>
              <w:rPr>
                <w:b/>
                <w:bCs/>
                <w:noProof/>
              </w:rPr>
              <w:drawing>
                <wp:inline distT="0" distB="0" distL="0" distR="0" wp14:anchorId="599FC4AE" wp14:editId="6F8E9F7F">
                  <wp:extent cx="588120" cy="588120"/>
                  <wp:effectExtent l="0" t="0" r="2540" b="2540"/>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819" cy="589819"/>
                          </a:xfrm>
                          <a:prstGeom prst="rect">
                            <a:avLst/>
                          </a:prstGeom>
                          <a:noFill/>
                          <a:ln>
                            <a:noFill/>
                          </a:ln>
                        </pic:spPr>
                      </pic:pic>
                    </a:graphicData>
                  </a:graphic>
                </wp:inline>
              </w:drawing>
            </w:r>
            <w:r w:rsidR="005B6EB9">
              <w:rPr>
                <w:b/>
                <w:bCs/>
              </w:rPr>
              <w:t xml:space="preserve"> </w:t>
            </w:r>
            <w:r w:rsidR="00CB10D8">
              <w:rPr>
                <w:b/>
                <w:bCs/>
                <w:noProof/>
              </w:rPr>
              <w:drawing>
                <wp:inline distT="0" distB="0" distL="0" distR="0" wp14:anchorId="476B5F96" wp14:editId="106CA98D">
                  <wp:extent cx="590357" cy="590357"/>
                  <wp:effectExtent l="0" t="0" r="635" b="635"/>
                  <wp:docPr id="1" name="Picture 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113" cy="593113"/>
                          </a:xfrm>
                          <a:prstGeom prst="rect">
                            <a:avLst/>
                          </a:prstGeom>
                          <a:noFill/>
                          <a:ln>
                            <a:noFill/>
                          </a:ln>
                        </pic:spPr>
                      </pic:pic>
                    </a:graphicData>
                  </a:graphic>
                </wp:inline>
              </w:drawing>
            </w:r>
            <w:r w:rsidR="005B6EB9">
              <w:rPr>
                <w:b/>
                <w:bCs/>
              </w:rPr>
              <w:t xml:space="preserve"> </w:t>
            </w:r>
            <w:r w:rsidR="005B6EB9">
              <w:rPr>
                <w:b/>
                <w:bCs/>
                <w:noProof/>
              </w:rPr>
              <w:drawing>
                <wp:inline distT="0" distB="0" distL="0" distR="0" wp14:anchorId="41EECF7F" wp14:editId="18BED44B">
                  <wp:extent cx="590053" cy="590053"/>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366" cy="595366"/>
                          </a:xfrm>
                          <a:prstGeom prst="rect">
                            <a:avLst/>
                          </a:prstGeom>
                          <a:noFill/>
                          <a:ln>
                            <a:noFill/>
                          </a:ln>
                        </pic:spPr>
                      </pic:pic>
                    </a:graphicData>
                  </a:graphic>
                </wp:inline>
              </w:drawing>
            </w:r>
            <w:r w:rsidR="00206718">
              <w:rPr>
                <w:b/>
                <w:bCs/>
              </w:rPr>
              <w:t xml:space="preserve"> </w:t>
            </w:r>
            <w:r w:rsidR="0049004C">
              <w:rPr>
                <w:rFonts w:cs="Arial"/>
                <w:noProof/>
              </w:rPr>
              <w:drawing>
                <wp:inline distT="0" distB="0" distL="0" distR="0" wp14:anchorId="02C9671A" wp14:editId="4C9F6C1B">
                  <wp:extent cx="585608" cy="585608"/>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188" cy="587188"/>
                          </a:xfrm>
                          <a:prstGeom prst="rect">
                            <a:avLst/>
                          </a:prstGeom>
                          <a:noFill/>
                          <a:ln>
                            <a:noFill/>
                          </a:ln>
                        </pic:spPr>
                      </pic:pic>
                    </a:graphicData>
                  </a:graphic>
                </wp:inline>
              </w:drawing>
            </w:r>
            <w:r w:rsidR="0049004C">
              <w:rPr>
                <w:b/>
                <w:bCs/>
              </w:rPr>
              <w:t xml:space="preserve"> </w:t>
            </w:r>
            <w:r w:rsidR="00206718">
              <w:rPr>
                <w:rFonts w:cs="Arial"/>
                <w:noProof/>
              </w:rPr>
              <w:drawing>
                <wp:inline distT="0" distB="0" distL="0" distR="0" wp14:anchorId="73D046FA" wp14:editId="793735A6">
                  <wp:extent cx="572494" cy="572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623" cy="578623"/>
                          </a:xfrm>
                          <a:prstGeom prst="rect">
                            <a:avLst/>
                          </a:prstGeom>
                          <a:noFill/>
                          <a:ln>
                            <a:noFill/>
                          </a:ln>
                        </pic:spPr>
                      </pic:pic>
                    </a:graphicData>
                  </a:graphic>
                </wp:inline>
              </w:drawing>
            </w:r>
            <w:r w:rsidR="00206718">
              <w:rPr>
                <w:b/>
                <w:bCs/>
              </w:rPr>
              <w:t xml:space="preserve"> </w:t>
            </w:r>
            <w:r w:rsidR="005B6EB9">
              <w:rPr>
                <w:b/>
                <w:bCs/>
                <w:noProof/>
              </w:rPr>
              <w:drawing>
                <wp:inline distT="0" distB="0" distL="0" distR="0" wp14:anchorId="39C08D92" wp14:editId="5BFA4CDD">
                  <wp:extent cx="580445" cy="580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603" cy="583603"/>
                          </a:xfrm>
                          <a:prstGeom prst="rect">
                            <a:avLst/>
                          </a:prstGeom>
                          <a:noFill/>
                          <a:ln>
                            <a:noFill/>
                          </a:ln>
                        </pic:spPr>
                      </pic:pic>
                    </a:graphicData>
                  </a:graphic>
                </wp:inline>
              </w:drawing>
            </w:r>
            <w:r w:rsidR="00E84206">
              <w:rPr>
                <w:b/>
                <w:bCs/>
              </w:rPr>
              <w:t xml:space="preserve"> </w:t>
            </w:r>
            <w:r w:rsidR="00E84206">
              <w:rPr>
                <w:noProof/>
              </w:rPr>
              <w:drawing>
                <wp:inline distT="0" distB="0" distL="0" distR="0" wp14:anchorId="3920B398" wp14:editId="36968F2F">
                  <wp:extent cx="745860" cy="5979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943" t="-17275" r="-9943" b="-17275"/>
                          <a:stretch/>
                        </pic:blipFill>
                        <pic:spPr>
                          <a:xfrm>
                            <a:off x="0" y="0"/>
                            <a:ext cx="767366" cy="615161"/>
                          </a:xfrm>
                          <a:prstGeom prst="rect">
                            <a:avLst/>
                          </a:prstGeom>
                        </pic:spPr>
                      </pic:pic>
                    </a:graphicData>
                  </a:graphic>
                </wp:inline>
              </w:drawing>
            </w:r>
          </w:p>
          <w:p w14:paraId="2E0C67DC" w14:textId="7360ACFA" w:rsidR="003E3CD1" w:rsidRPr="00E37318" w:rsidRDefault="00896DAC" w:rsidP="00572BC0">
            <w:r>
              <w:t xml:space="preserve">  </w:t>
            </w:r>
          </w:p>
          <w:p w14:paraId="2CF93C76" w14:textId="3D07ED42" w:rsidR="00E56778" w:rsidRDefault="006914B9" w:rsidP="006914B9">
            <w:pPr>
              <w:rPr>
                <w:rFonts w:cs="Arial"/>
              </w:rPr>
            </w:pPr>
            <w:r>
              <w:rPr>
                <w:rFonts w:cs="Arial"/>
              </w:rPr>
              <w:t>*</w:t>
            </w:r>
            <w:r w:rsidRPr="00E0181C">
              <w:rPr>
                <w:rFonts w:cs="Arial"/>
                <w:b/>
              </w:rPr>
              <w:t>Always refer to the Safety Data Sheet for the most detailed information</w:t>
            </w:r>
            <w:r>
              <w:rPr>
                <w:rFonts w:cs="Arial"/>
              </w:rPr>
              <w:t>*</w:t>
            </w:r>
          </w:p>
          <w:p w14:paraId="55826B04" w14:textId="77777777" w:rsidR="00206718" w:rsidRDefault="00206718" w:rsidP="006914B9">
            <w:pPr>
              <w:rPr>
                <w:rFonts w:cs="Arial"/>
              </w:rPr>
            </w:pPr>
          </w:p>
          <w:p w14:paraId="7425CAE6" w14:textId="6B97CF29" w:rsidR="008828E6" w:rsidRDefault="008828E6" w:rsidP="00B352B6">
            <w:pPr>
              <w:pStyle w:val="ListParagraph"/>
              <w:numPr>
                <w:ilvl w:val="0"/>
                <w:numId w:val="8"/>
              </w:numPr>
              <w:ind w:left="251" w:hanging="251"/>
              <w:rPr>
                <w:rFonts w:cs="Arial"/>
              </w:rPr>
            </w:pPr>
            <w:r w:rsidRPr="002C6EC6">
              <w:rPr>
                <w:rFonts w:cs="Arial"/>
                <w:b/>
                <w:bCs/>
              </w:rPr>
              <w:t>Note:</w:t>
            </w:r>
            <w:r w:rsidRPr="00EC64CE">
              <w:rPr>
                <w:rFonts w:cs="Arial"/>
              </w:rPr>
              <w:t xml:space="preserve"> If working with </w:t>
            </w:r>
            <w:proofErr w:type="spellStart"/>
            <w:r w:rsidR="00B352B6">
              <w:rPr>
                <w:rFonts w:cs="Arial"/>
                <w:b/>
                <w:bCs/>
              </w:rPr>
              <w:t>Hydroflouric</w:t>
            </w:r>
            <w:proofErr w:type="spellEnd"/>
            <w:r w:rsidRPr="00EC64CE">
              <w:rPr>
                <w:rFonts w:cs="Arial"/>
                <w:b/>
                <w:bCs/>
              </w:rPr>
              <w:t xml:space="preserve"> acid</w:t>
            </w:r>
            <w:r w:rsidR="00584E82">
              <w:rPr>
                <w:rFonts w:cs="Arial"/>
                <w:b/>
                <w:bCs/>
              </w:rPr>
              <w:t xml:space="preserve"> </w:t>
            </w:r>
            <w:r w:rsidR="00584E82" w:rsidRPr="00584E82">
              <w:rPr>
                <w:rFonts w:cs="Arial"/>
              </w:rPr>
              <w:t>(not a strong acid)</w:t>
            </w:r>
            <w:r w:rsidR="00AA7BB3">
              <w:rPr>
                <w:rFonts w:cs="Arial"/>
              </w:rPr>
              <w:t xml:space="preserve"> or other acids with acute systemic toxicity with skin exposure (</w:t>
            </w:r>
            <w:proofErr w:type="gramStart"/>
            <w:r w:rsidR="00AA7BB3">
              <w:rPr>
                <w:rFonts w:cs="Arial"/>
              </w:rPr>
              <w:t>e.g.</w:t>
            </w:r>
            <w:proofErr w:type="gramEnd"/>
            <w:r w:rsidR="00AA7BB3">
              <w:rPr>
                <w:rFonts w:cs="Arial"/>
              </w:rPr>
              <w:t xml:space="preserve"> </w:t>
            </w:r>
            <w:proofErr w:type="spellStart"/>
            <w:r w:rsidR="00AA7BB3">
              <w:rPr>
                <w:rFonts w:cs="Arial"/>
              </w:rPr>
              <w:t>hexafluorophosphoric</w:t>
            </w:r>
            <w:proofErr w:type="spellEnd"/>
            <w:r w:rsidR="00AA7BB3">
              <w:rPr>
                <w:rFonts w:cs="Arial"/>
              </w:rPr>
              <w:t xml:space="preserve"> acid)</w:t>
            </w:r>
            <w:r w:rsidRPr="00584E82">
              <w:rPr>
                <w:rFonts w:cs="Arial"/>
              </w:rPr>
              <w:t>,</w:t>
            </w:r>
            <w:r w:rsidR="00AA7BB3">
              <w:rPr>
                <w:rFonts w:cs="Arial"/>
              </w:rPr>
              <w:t xml:space="preserve"> their respective chemical specific SOPs</w:t>
            </w:r>
            <w:r w:rsidR="0061710F">
              <w:rPr>
                <w:rFonts w:cs="Arial"/>
              </w:rPr>
              <w:t xml:space="preserve"> shall be used</w:t>
            </w:r>
            <w:r w:rsidR="00AA7BB3">
              <w:rPr>
                <w:rFonts w:cs="Arial"/>
              </w:rPr>
              <w:t xml:space="preserve">. </w:t>
            </w:r>
            <w:r w:rsidR="00B352B6" w:rsidRPr="00B352B6">
              <w:rPr>
                <w:rFonts w:cs="Arial"/>
                <w:b/>
                <w:bCs/>
              </w:rPr>
              <w:t>Perchloric acid</w:t>
            </w:r>
            <w:r w:rsidR="00AA7BB3">
              <w:rPr>
                <w:rFonts w:cs="Arial"/>
              </w:rPr>
              <w:t xml:space="preserve"> use shall reference a </w:t>
            </w:r>
            <w:r w:rsidR="00B352B6">
              <w:rPr>
                <w:rFonts w:cs="Arial"/>
              </w:rPr>
              <w:t>chemical specific SO</w:t>
            </w:r>
            <w:r w:rsidR="009A2F5A">
              <w:rPr>
                <w:rFonts w:cs="Arial"/>
              </w:rPr>
              <w:t>P</w:t>
            </w:r>
            <w:r w:rsidR="00AA7BB3">
              <w:rPr>
                <w:rFonts w:cs="Arial"/>
              </w:rPr>
              <w:t>, addressing the potential formation of shock sensitive organic perchlorates</w:t>
            </w:r>
            <w:r w:rsidR="00B352B6">
              <w:rPr>
                <w:rFonts w:cs="Arial"/>
              </w:rPr>
              <w:t>.</w:t>
            </w:r>
          </w:p>
          <w:p w14:paraId="3878ACD4" w14:textId="088B24E6" w:rsidR="00F063D6" w:rsidRDefault="00F063D6" w:rsidP="006914B9">
            <w:pPr>
              <w:rPr>
                <w:rFonts w:cs="Arial"/>
              </w:rPr>
            </w:pPr>
          </w:p>
          <w:p w14:paraId="79F53AD8" w14:textId="77BA54C7" w:rsidR="00F063D6" w:rsidRPr="00E37318" w:rsidRDefault="00F063D6" w:rsidP="00104420">
            <w:pPr>
              <w:autoSpaceDE w:val="0"/>
              <w:autoSpaceDN w:val="0"/>
              <w:adjustRightInd w:val="0"/>
              <w:rPr>
                <w:rFonts w:cs="Arial"/>
              </w:rPr>
            </w:pPr>
            <w:r w:rsidRPr="00E37318">
              <w:rPr>
                <w:rFonts w:cs="Arial"/>
                <w:b/>
              </w:rPr>
              <w:t>REMEMBER!</w:t>
            </w:r>
            <w:r w:rsidRPr="00E37318">
              <w:rPr>
                <w:rFonts w:cs="Arial"/>
              </w:rPr>
              <w:t xml:space="preserve"> </w:t>
            </w:r>
            <w:r w:rsidR="00822B6F">
              <w:rPr>
                <w:rFonts w:cs="Arial"/>
              </w:rPr>
              <w:t>When preparing aqueous solutions, a</w:t>
            </w:r>
            <w:r w:rsidRPr="00E37318">
              <w:rPr>
                <w:rFonts w:cs="Arial"/>
              </w:rPr>
              <w:t xml:space="preserve">lways add </w:t>
            </w:r>
            <w:r w:rsidR="00822B6F">
              <w:rPr>
                <w:rFonts w:cs="Arial"/>
              </w:rPr>
              <w:t xml:space="preserve">inorganic </w:t>
            </w:r>
            <w:r w:rsidRPr="00E37318">
              <w:rPr>
                <w:rFonts w:cs="Arial"/>
              </w:rPr>
              <w:t>acid</w:t>
            </w:r>
            <w:r w:rsidR="00822B6F">
              <w:rPr>
                <w:rFonts w:cs="Arial"/>
              </w:rPr>
              <w:t>s</w:t>
            </w:r>
            <w:r w:rsidRPr="00E37318">
              <w:rPr>
                <w:rFonts w:cs="Arial"/>
              </w:rPr>
              <w:t xml:space="preserve"> to water to limit exothermic reactions such as splatter, bubbling and fuming.</w:t>
            </w:r>
            <w:r w:rsidR="00104420">
              <w:rPr>
                <w:rFonts w:cs="Arial"/>
              </w:rPr>
              <w:t xml:space="preserve"> </w:t>
            </w:r>
            <w:r w:rsidRPr="00E37318">
              <w:rPr>
                <w:rFonts w:cs="Arial"/>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FDF5805" w14:textId="77777777" w:rsidR="00F063D6" w:rsidRPr="00E37318" w:rsidRDefault="00F063D6" w:rsidP="00F063D6">
            <w:pPr>
              <w:tabs>
                <w:tab w:val="left" w:pos="2952"/>
              </w:tabs>
              <w:rPr>
                <w:rFonts w:cs="Arial"/>
              </w:rPr>
            </w:pPr>
          </w:p>
          <w:p w14:paraId="02CE9009" w14:textId="14554149" w:rsidR="00F063D6" w:rsidRPr="00E37318" w:rsidRDefault="00F063D6" w:rsidP="00F063D6">
            <w:pPr>
              <w:tabs>
                <w:tab w:val="left" w:pos="2952"/>
              </w:tabs>
              <w:rPr>
                <w:rFonts w:cs="Arial"/>
              </w:rPr>
            </w:pPr>
            <w:r w:rsidRPr="00E37318">
              <w:rPr>
                <w:rFonts w:cs="Arial"/>
              </w:rPr>
              <w:t xml:space="preserve">Adding acid to water, the resulting solution is </w:t>
            </w:r>
            <w:proofErr w:type="gramStart"/>
            <w:r w:rsidRPr="00E37318">
              <w:rPr>
                <w:rFonts w:cs="Arial"/>
              </w:rPr>
              <w:t>dilute</w:t>
            </w:r>
            <w:proofErr w:type="gramEnd"/>
            <w:r w:rsidRPr="00E37318">
              <w:rPr>
                <w:rFonts w:cs="Arial"/>
              </w:rPr>
              <w:t xml:space="preserve"> and the heat released is absorbed by the water. </w:t>
            </w:r>
            <w:r w:rsidR="00822B6F">
              <w:rPr>
                <w:rFonts w:cs="Arial"/>
              </w:rPr>
              <w:t xml:space="preserve">When preparing aqueous acid solutions, </w:t>
            </w:r>
            <w:r w:rsidRPr="00E37318">
              <w:rPr>
                <w:rFonts w:cs="Arial"/>
                <w:b/>
                <w:bCs/>
                <w:u w:val="single"/>
              </w:rPr>
              <w:t>Always Add Acid</w:t>
            </w:r>
            <w:r w:rsidRPr="00E37318">
              <w:rPr>
                <w:rFonts w:cs="Arial"/>
              </w:rPr>
              <w:t xml:space="preserve"> to water.</w:t>
            </w:r>
          </w:p>
          <w:p w14:paraId="70915707" w14:textId="77777777" w:rsidR="006A6643" w:rsidRDefault="006A6643" w:rsidP="006914B9">
            <w:pPr>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36C8E426" w:rsidR="001C3710" w:rsidRPr="00563D81" w:rsidRDefault="001C3710" w:rsidP="001C3710">
            <w:pPr>
              <w:rPr>
                <w:bCs/>
              </w:rPr>
            </w:pPr>
            <w:r>
              <w:t>Sa</w:t>
            </w:r>
            <w:r w:rsidR="00583A52">
              <w:t>fety Data Sheet</w:t>
            </w:r>
            <w:r w:rsidR="00967281">
              <w:t>s</w:t>
            </w:r>
            <w:r w:rsidR="00583A52">
              <w:t xml:space="preserve"> (SDS) for </w:t>
            </w:r>
            <w:r w:rsidR="00634829">
              <w:t>in</w:t>
            </w:r>
            <w:r w:rsidR="00967281">
              <w:t>organic acids</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3AA660B8" w:rsidR="003E3CD1" w:rsidRDefault="00AE46CB" w:rsidP="00E56778">
            <w:r w:rsidRPr="001D65E2">
              <w:rPr>
                <w:u w:val="single"/>
              </w:rPr>
              <w:t>Labeling</w:t>
            </w:r>
            <w:r>
              <w:t xml:space="preserve">: Inorganic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15" w:history="1">
              <w:r w:rsidRPr="00A32F1F">
                <w:rPr>
                  <w:rStyle w:val="Hyperlink"/>
                </w:rPr>
                <w:t>https://ehs.wsu.edu/ohs-chemhazardcommunication/ohs-workplacelabels/</w:t>
              </w:r>
            </w:hyperlink>
            <w:r>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FF1423">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0D53E585" w:rsidR="00E65D8E" w:rsidRDefault="00151226" w:rsidP="00151226">
            <w:r>
              <w:t xml:space="preserve">Wear </w:t>
            </w:r>
            <w:r w:rsidR="00F635AB">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CA7477">
              <w:t xml:space="preserve"> at minimum</w:t>
            </w:r>
            <w:r>
              <w:t>.</w:t>
            </w:r>
            <w:r w:rsidR="00526F6C">
              <w:t xml:space="preserve"> ANSI approved safety glasses may be appropriate for lower hazard </w:t>
            </w:r>
            <w:r w:rsidR="00634829">
              <w:t>in</w:t>
            </w:r>
            <w:r w:rsidR="00526F6C">
              <w:t xml:space="preserve">organic acids or when </w:t>
            </w:r>
            <w:r w:rsidR="001819D7">
              <w:t xml:space="preserve">properly </w:t>
            </w:r>
            <w:r w:rsidR="00526F6C">
              <w:t>working behind a fume hood’s protective sash.</w:t>
            </w:r>
            <w:r>
              <w:t xml:space="preserve">  </w:t>
            </w:r>
          </w:p>
          <w:p w14:paraId="743A5489" w14:textId="77777777" w:rsidR="00E65D8E" w:rsidRDefault="00E65D8E" w:rsidP="00151226"/>
          <w:p w14:paraId="61FCC2F3" w14:textId="77777777" w:rsidR="005D2B8F" w:rsidRDefault="003B4598" w:rsidP="00151226">
            <w:r>
              <w:t xml:space="preserve">When working with concentrated </w:t>
            </w:r>
            <w:r w:rsidR="00634829">
              <w:t>in</w:t>
            </w:r>
            <w:r>
              <w:t xml:space="preserve">organic acids with an increased risk of splash or spill exposure </w:t>
            </w:r>
            <w:r w:rsidR="008E13DD">
              <w:t>(</w:t>
            </w:r>
            <w:proofErr w:type="gramStart"/>
            <w:r>
              <w:t>e.g.</w:t>
            </w:r>
            <w:proofErr w:type="gramEnd"/>
            <w:r>
              <w:t xml:space="preserve"> transfers from a larger container</w:t>
            </w:r>
            <w:r w:rsidR="008E13DD">
              <w:t>)</w:t>
            </w:r>
            <w:r w:rsidR="00F635AB">
              <w:t xml:space="preserve">, </w:t>
            </w:r>
            <w:r>
              <w:t>consider siphon transfer for improved control or additional PPE, such as</w:t>
            </w:r>
            <w:r w:rsidR="00F635AB">
              <w:t xml:space="preserve"> </w:t>
            </w:r>
            <w:r w:rsidR="008301CA">
              <w:t xml:space="preserve">thick-cut </w:t>
            </w:r>
            <w:r w:rsidR="00F635AB">
              <w:t>neoprene</w:t>
            </w:r>
            <w:r w:rsidR="00E65D8E">
              <w:t xml:space="preserve">, </w:t>
            </w:r>
            <w:r w:rsidR="00F635AB">
              <w:t>butyl rubber</w:t>
            </w:r>
            <w:r w:rsidR="00E65D8E">
              <w:t>, Viton or equivalent</w:t>
            </w:r>
            <w:r w:rsidR="00F635AB">
              <w:t xml:space="preserve"> gloves</w:t>
            </w:r>
            <w:r w:rsidR="004815AC">
              <w:t xml:space="preserve">, </w:t>
            </w:r>
            <w:r w:rsidR="00E65D8E">
              <w:t>a face shield</w:t>
            </w:r>
            <w:r w:rsidR="004815AC">
              <w:t xml:space="preserve"> and a chemical-resistant apron</w:t>
            </w:r>
            <w:r w:rsidR="00F635AB">
              <w:t xml:space="preserve">.  </w:t>
            </w:r>
            <w:r w:rsidR="00A474B2">
              <w:t>Wash hands</w:t>
            </w:r>
            <w:r w:rsidR="00E65D8E">
              <w:t xml:space="preserve"> immediately</w:t>
            </w:r>
            <w:r w:rsidR="00A474B2">
              <w:t xml:space="preserve"> after </w:t>
            </w:r>
            <w:r w:rsidR="00E65D8E">
              <w:t xml:space="preserve">handling acids and </w:t>
            </w:r>
            <w:r w:rsidR="00A474B2">
              <w:t>removing gloves.</w:t>
            </w:r>
          </w:p>
          <w:p w14:paraId="18D0C7A1" w14:textId="77777777" w:rsidR="005D2B8F" w:rsidRDefault="005D2B8F" w:rsidP="00151226"/>
          <w:p w14:paraId="6B6B8188" w14:textId="1C08C8ED" w:rsidR="00E65D8E" w:rsidRDefault="005D2B8F" w:rsidP="00151226">
            <w:pPr>
              <w:pStyle w:val="ListParagraph"/>
              <w:numPr>
                <w:ilvl w:val="0"/>
                <w:numId w:val="9"/>
              </w:numPr>
              <w:ind w:left="250" w:hanging="250"/>
            </w:pPr>
            <w:r w:rsidRPr="00B46B90">
              <w:rPr>
                <w:b/>
                <w:bCs/>
              </w:rPr>
              <w:t>Note:</w:t>
            </w:r>
            <w:r>
              <w:t xml:space="preserve"> Always consult with your glove manufacturer’s glove compatibility chart to ensure selected gloves are compatible with specific chemical being used.</w:t>
            </w:r>
            <w:r w:rsidR="00A474B2">
              <w:t xml:space="preserve">  </w:t>
            </w:r>
          </w:p>
          <w:p w14:paraId="1362F57F" w14:textId="5670BFC2" w:rsidR="004815AC" w:rsidRDefault="004815AC" w:rsidP="00151226"/>
          <w:p w14:paraId="3E795F47" w14:textId="6E313904" w:rsidR="004815AC" w:rsidRDefault="004815AC" w:rsidP="00151226">
            <w:r>
              <w:t xml:space="preserve">Full length pants and close-toed shoes are required to be </w:t>
            </w:r>
            <w:proofErr w:type="gramStart"/>
            <w:r>
              <w:t>worn at all times</w:t>
            </w:r>
            <w:proofErr w:type="gramEnd"/>
            <w:r>
              <w:t>.</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1C36924D" w:rsidR="00151226" w:rsidRDefault="00F635AB" w:rsidP="00151226">
            <w:r>
              <w:t>Always w</w:t>
            </w:r>
            <w:r w:rsidR="00151226">
              <w:t xml:space="preserve">ork </w:t>
            </w:r>
            <w:r w:rsidR="00526F6C">
              <w:t xml:space="preserve">with </w:t>
            </w:r>
            <w:r w:rsidR="00634829">
              <w:t>in</w:t>
            </w:r>
            <w:r w:rsidR="00526F6C">
              <w:t xml:space="preserve">organic acids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6A88B95A" w:rsidR="0002180A" w:rsidRDefault="0002180A" w:rsidP="00151226">
            <w:r>
              <w:t xml:space="preserve">If </w:t>
            </w:r>
            <w:r w:rsidR="00634829">
              <w:t>in</w:t>
            </w:r>
            <w:r>
              <w:t>organic acids are used outside of a chemical fume hood,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FF1423">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4187F861" w:rsidR="00D45721" w:rsidRDefault="00151226" w:rsidP="00151226">
            <w:r w:rsidRPr="00352450">
              <w:rPr>
                <w:b/>
              </w:rPr>
              <w:t xml:space="preserve">Waste </w:t>
            </w:r>
            <w:r w:rsidR="00634829">
              <w:rPr>
                <w:b/>
              </w:rPr>
              <w:t>Ino</w:t>
            </w:r>
            <w:r w:rsidR="00EA6044">
              <w:rPr>
                <w:b/>
              </w:rPr>
              <w:t>rganic</w:t>
            </w:r>
            <w:r>
              <w:rPr>
                <w:b/>
              </w:rPr>
              <w:t xml:space="preserve"> Acid</w:t>
            </w:r>
            <w:r>
              <w:t xml:space="preserve"> m</w:t>
            </w:r>
            <w:r w:rsidR="00C54FF8">
              <w:t xml:space="preserve">ust be </w:t>
            </w:r>
            <w:r w:rsidR="009A46A7">
              <w:t xml:space="preserve">managed </w:t>
            </w:r>
            <w:r w:rsidR="00C54FF8">
              <w:t xml:space="preserve">as a Dangerous Waste if it has a pH of </w:t>
            </w:r>
            <w:r w:rsidR="000D7FD7">
              <w:t>6</w:t>
            </w:r>
            <w:r w:rsidR="00C54FF8">
              <w:t xml:space="preserve"> or lower. </w:t>
            </w:r>
            <w:r w:rsidR="00634829">
              <w:t>Ino</w:t>
            </w:r>
            <w:r w:rsidR="00125B3A">
              <w:t>rganic acid</w:t>
            </w:r>
            <w:r w:rsidR="00D46C9D">
              <w:t xml:space="preserve"> wastes</w:t>
            </w:r>
            <w:r w:rsidR="00C54FF8">
              <w:t xml:space="preserve"> should be collected</w:t>
            </w:r>
            <w:r>
              <w:t xml:space="preserve"> in a compatible container</w:t>
            </w:r>
            <w:r w:rsidR="00D46C9D">
              <w:t xml:space="preserve"> </w:t>
            </w:r>
            <w:r w:rsidR="0003259B">
              <w:t>(</w:t>
            </w:r>
            <w:proofErr w:type="gramStart"/>
            <w:r w:rsidR="00D46C9D">
              <w:t>e.g.</w:t>
            </w:r>
            <w:proofErr w:type="gramEnd"/>
            <w:r w:rsidR="00D46C9D">
              <w:t xml:space="preserve">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as </w:t>
            </w:r>
            <w:r w:rsidR="00AF6A1F">
              <w:t xml:space="preserve">bases and </w:t>
            </w:r>
            <w:r w:rsidR="008A15F7">
              <w:t>organic</w:t>
            </w:r>
            <w:r w:rsidR="00634829">
              <w:t xml:space="preserve"> acids</w:t>
            </w:r>
            <w:r w:rsidR="00AF6A1F">
              <w:t>)</w:t>
            </w:r>
            <w:r w:rsidR="00D45721">
              <w:t xml:space="preserve">. </w:t>
            </w:r>
            <w:r w:rsidR="00BA7462">
              <w:t>Reference Section 10 of the SDS for incompatible materials.</w:t>
            </w:r>
          </w:p>
          <w:p w14:paraId="6FE64D77" w14:textId="77777777" w:rsidR="00D45721" w:rsidRDefault="00D45721" w:rsidP="00151226"/>
          <w:p w14:paraId="7136B81A" w14:textId="18FB3BD4" w:rsidR="00151226" w:rsidRDefault="00D45721" w:rsidP="00151226">
            <w:r>
              <w:lastRenderedPageBreak/>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6"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62B99DFF" w:rsidR="00C54FF8" w:rsidRDefault="00C54FF8" w:rsidP="00C54FF8">
            <w:r>
              <w:t xml:space="preserve">If the solution has a pH between </w:t>
            </w:r>
            <w:r w:rsidR="000D7FD7">
              <w:t>6</w:t>
            </w:r>
            <w:r>
              <w:t xml:space="preserve"> and 9</w:t>
            </w:r>
            <w:r w:rsidR="0029270A">
              <w:t xml:space="preserve"> and does not meet the definition of toxic in </w:t>
            </w:r>
            <w:hyperlink r:id="rId17" w:history="1">
              <w:r w:rsidR="0029270A" w:rsidRPr="0029270A">
                <w:rPr>
                  <w:rStyle w:val="Hyperlink"/>
                </w:rPr>
                <w:t>WAC 173-303-100</w:t>
              </w:r>
            </w:hyperlink>
            <w:r w:rsidR="00053CA1">
              <w:t xml:space="preserve"> or exhibit other </w:t>
            </w:r>
            <w:r w:rsidR="004112EE">
              <w:t>dangerous</w:t>
            </w:r>
            <w:r w:rsidR="00053CA1">
              <w:t xml:space="preserve"> waste characteristics</w:t>
            </w:r>
            <w:r w:rsidR="0029270A">
              <w:t xml:space="preserve">, </w:t>
            </w:r>
            <w:r>
              <w:t xml:space="preserve">it </w:t>
            </w:r>
            <w:r w:rsidR="007758A5">
              <w:rPr>
                <w:b/>
                <w:bCs/>
                <w:u w:val="single"/>
              </w:rPr>
              <w:t>MAY</w:t>
            </w:r>
            <w:r>
              <w:t xml:space="preserve"> be</w:t>
            </w:r>
            <w:r w:rsidR="00DE5D18">
              <w:t xml:space="preserve"> able to be</w:t>
            </w:r>
            <w:r>
              <w:t xml:space="preserve"> drain discharge</w:t>
            </w:r>
            <w:r w:rsidR="00125B3A">
              <w:t>d</w:t>
            </w:r>
            <w:r w:rsidR="00D46C9D">
              <w:t>/disposed</w:t>
            </w:r>
            <w:r>
              <w:t>.</w:t>
            </w:r>
            <w:r w:rsidR="00DE5D18">
              <w:t xml:space="preserve"> </w:t>
            </w:r>
            <w:r w:rsidR="001A756F">
              <w:t>For assistance evaluating dangerous waste characteristics, co</w:t>
            </w:r>
            <w:r w:rsidR="002E71DC">
              <w:t xml:space="preserve">ntact </w:t>
            </w:r>
            <w:r w:rsidR="00DE5D18">
              <w:t>EH&amp;S</w:t>
            </w:r>
            <w:r w:rsidR="002E71DC">
              <w:t xml:space="preserve"> </w:t>
            </w:r>
            <w:hyperlink r:id="rId18" w:history="1">
              <w:r w:rsidR="002E71DC" w:rsidRPr="00342432">
                <w:rPr>
                  <w:rStyle w:val="Hyperlink"/>
                </w:rPr>
                <w:t>https://ehs.wsu.edu/contact-information/</w:t>
              </w:r>
            </w:hyperlink>
            <w:r w:rsidR="002E71DC">
              <w:t>.</w:t>
            </w:r>
            <w:r>
              <w:t xml:space="preserve"> </w:t>
            </w:r>
            <w:r w:rsidR="002E71DC">
              <w:t>Do not neutralize dangerous wastes for disposal</w:t>
            </w:r>
            <w:r w:rsidR="00DB4135">
              <w:t>, this may only be done at permitted treatment and disposal facilities</w:t>
            </w:r>
            <w:r>
              <w:t>.</w:t>
            </w:r>
          </w:p>
          <w:p w14:paraId="33B796AA" w14:textId="251BCF93" w:rsidR="0055639F" w:rsidRDefault="0055639F" w:rsidP="00C54FF8"/>
          <w:p w14:paraId="36F70FBF" w14:textId="793988A6"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634829">
              <w:rPr>
                <w:b/>
                <w:bCs/>
                <w:color w:val="FF0000"/>
              </w:rPr>
              <w:t>in</w:t>
            </w:r>
            <w:r w:rsidRPr="0069320B">
              <w:rPr>
                <w:b/>
                <w:bCs/>
                <w:color w:val="FF0000"/>
              </w:rPr>
              <w:t xml:space="preserve">organic acid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FF1423">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7AE320C3"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49544A2B" w:rsidR="00151226" w:rsidRDefault="00634829" w:rsidP="00151226">
            <w:r>
              <w:t>Ino</w:t>
            </w:r>
            <w:r w:rsidR="00EA6044">
              <w:t xml:space="preserve">rganic </w:t>
            </w:r>
            <w:r w:rsidR="00151226">
              <w:t>acid</w:t>
            </w:r>
            <w:r w:rsidR="00EA6044">
              <w:t>s are</w:t>
            </w:r>
            <w:r w:rsidR="00151226">
              <w:t xml:space="preserve"> stored and dispensed in </w:t>
            </w:r>
            <w:r w:rsidR="00151226" w:rsidRPr="00153467">
              <w:rPr>
                <w:b/>
                <w:color w:val="FF0000"/>
              </w:rPr>
              <w:t>Building, Room</w:t>
            </w:r>
            <w:r w:rsidR="00151226">
              <w:rPr>
                <w:b/>
                <w:color w:val="0000FF"/>
              </w:rPr>
              <w:t>.</w:t>
            </w:r>
          </w:p>
          <w:p w14:paraId="01EAF336" w14:textId="77777777" w:rsidR="00151226" w:rsidRDefault="00151226" w:rsidP="00151226"/>
          <w:p w14:paraId="2D811E62" w14:textId="0B66C462" w:rsidR="00151226" w:rsidRDefault="00D3385C" w:rsidP="00151226">
            <w:r>
              <w:t>D</w:t>
            </w:r>
            <w:r w:rsidR="00151226">
              <w:t>iluted</w:t>
            </w:r>
            <w:r w:rsidR="00EA6044">
              <w:t xml:space="preserve"> </w:t>
            </w:r>
            <w:r w:rsidR="00634829">
              <w:t>in</w:t>
            </w:r>
            <w:r w:rsidR="00EA6044">
              <w:t>organic</w:t>
            </w:r>
            <w:r w:rsidR="00151226">
              <w:t xml:space="preserve"> acid solution</w:t>
            </w:r>
            <w:r>
              <w:t>s are</w:t>
            </w:r>
            <w:r w:rsidR="00151226">
              <w:t xml:space="preserve"> prepared immediately prior to use in </w:t>
            </w:r>
            <w:r w:rsidR="00151226" w:rsidRPr="00153467">
              <w:rPr>
                <w:b/>
                <w:color w:val="FF0000"/>
              </w:rPr>
              <w:t>Building, Room</w:t>
            </w:r>
            <w:r w:rsidR="00151226">
              <w:t>.</w:t>
            </w:r>
          </w:p>
          <w:p w14:paraId="4D775F2F" w14:textId="77777777" w:rsidR="00151226" w:rsidRDefault="00151226" w:rsidP="00151226"/>
          <w:p w14:paraId="778B66C9" w14:textId="13FBC1B9" w:rsidR="00151226" w:rsidRPr="00D3385C" w:rsidRDefault="00151226" w:rsidP="00151226">
            <w:pPr>
              <w:rPr>
                <w:b/>
              </w:rPr>
            </w:pPr>
            <w:r w:rsidRPr="00D3385C">
              <w:rPr>
                <w:b/>
              </w:rPr>
              <w:t xml:space="preserve">Confine all work with </w:t>
            </w:r>
            <w:r w:rsidR="003032A3">
              <w:rPr>
                <w:b/>
              </w:rPr>
              <w:t xml:space="preserve">strong </w:t>
            </w:r>
            <w:r w:rsidR="00634829">
              <w:rPr>
                <w:b/>
              </w:rPr>
              <w:t>in</w:t>
            </w:r>
            <w:r w:rsidR="003032A3">
              <w:rPr>
                <w:b/>
              </w:rPr>
              <w:t xml:space="preserve">organic </w:t>
            </w:r>
            <w:r w:rsidRPr="00D3385C">
              <w:rPr>
                <w:b/>
              </w:rPr>
              <w:t xml:space="preserve">acid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08E89A84" w:rsidR="0055639F" w:rsidRDefault="0055639F" w:rsidP="00E56778">
            <w:pPr>
              <w:rPr>
                <w:b/>
                <w:bCs/>
              </w:rPr>
            </w:pPr>
            <w:r w:rsidRPr="0069320B">
              <w:rPr>
                <w:b/>
                <w:bCs/>
                <w:color w:val="FF0000"/>
              </w:rPr>
              <w:t xml:space="preserve">Insert lab specific information on </w:t>
            </w:r>
            <w:r w:rsidR="00634829">
              <w:rPr>
                <w:b/>
                <w:bCs/>
                <w:color w:val="FF0000"/>
              </w:rPr>
              <w:t>in</w:t>
            </w:r>
            <w:r w:rsidRPr="0069320B">
              <w:rPr>
                <w:b/>
                <w:bCs/>
                <w:color w:val="FF0000"/>
              </w:rPr>
              <w:t>organic acid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FF1423">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65231647"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634829">
              <w:t>in</w:t>
            </w:r>
            <w:r w:rsidR="00F72222">
              <w:t>organic</w:t>
            </w:r>
            <w:r w:rsidR="00150DEA" w:rsidRPr="00071EDE">
              <w:t xml:space="preserve"> acid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If the spill is contained, secure the area, evacuate and call EH&amp;S at 509-335-3041.</w:t>
            </w:r>
          </w:p>
          <w:p w14:paraId="678CFB96" w14:textId="77777777" w:rsidR="00150DEA" w:rsidRPr="00D80E1D" w:rsidRDefault="00150DEA" w:rsidP="00150DEA">
            <w:pPr>
              <w:rPr>
                <w:highlight w:val="cyan"/>
              </w:rPr>
            </w:pPr>
          </w:p>
          <w:p w14:paraId="269C9BB9" w14:textId="206040D2"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634829">
              <w:t>in</w:t>
            </w:r>
            <w:r w:rsidR="00F72222">
              <w:t>organic</w:t>
            </w:r>
            <w:r w:rsidR="00150DEA">
              <w:t xml:space="preserve"> acid is </w:t>
            </w:r>
            <w:r w:rsidR="00D45721">
              <w:t>spilled</w:t>
            </w:r>
            <w:r w:rsidR="003A6CBB">
              <w:t xml:space="preserve"> (it can be cleaned up in 10 minutes)</w:t>
            </w:r>
            <w:r w:rsidR="00150DEA">
              <w:t xml:space="preserve"> and you have been appropriately trained to clean it up, you may do so.  Trained personnel sh</w:t>
            </w:r>
            <w:r w:rsidR="00CA7477">
              <w:t>all</w:t>
            </w:r>
            <w:r w:rsidR="00A474B2">
              <w:t xml:space="preserve"> wear nitrile, neoprene, or butyl </w:t>
            </w:r>
            <w:r w:rsidR="00150DEA">
              <w:t xml:space="preserve">gloves, chemical splash goggles, and a </w:t>
            </w:r>
            <w:proofErr w:type="gramStart"/>
            <w:r w:rsidR="00150DEA">
              <w:t>fully-buttoned</w:t>
            </w:r>
            <w:proofErr w:type="gramEnd"/>
            <w:r w:rsidR="00150DEA">
              <w:t xml:space="preserve"> lab coat.  </w:t>
            </w:r>
          </w:p>
          <w:p w14:paraId="610ECB7E" w14:textId="77777777" w:rsidR="004B449D" w:rsidRDefault="004B449D" w:rsidP="00150DEA">
            <w:pPr>
              <w:autoSpaceDE w:val="0"/>
              <w:autoSpaceDN w:val="0"/>
              <w:adjustRightInd w:val="0"/>
            </w:pPr>
          </w:p>
          <w:p w14:paraId="30AD0EA1" w14:textId="77777777" w:rsidR="00580D13" w:rsidRDefault="00580D13" w:rsidP="00580D13">
            <w:pPr>
              <w:autoSpaceDE w:val="0"/>
              <w:autoSpaceDN w:val="0"/>
              <w:adjustRightInd w:val="0"/>
            </w:pPr>
            <w:r>
              <w:t>Sweep up carefully and avoid generating dust (solids) or a</w:t>
            </w:r>
            <w:r>
              <w:rPr>
                <w:rFonts w:cs="Arial"/>
              </w:rPr>
              <w:t>bsorb with an inert dry material (liquids) and place material in an appropriate waste disposal container (resealable bag, etc.)</w:t>
            </w:r>
            <w:r>
              <w:t xml:space="preserve"> and dispose of as dangerous waste (see Section 6: WASTE DISPOSAL PROCEDURES).  </w:t>
            </w:r>
          </w:p>
          <w:p w14:paraId="7F99A472" w14:textId="77777777" w:rsidR="00D80ACD" w:rsidRDefault="00D80ACD" w:rsidP="00D80ACD">
            <w:pPr>
              <w:autoSpaceDE w:val="0"/>
              <w:autoSpaceDN w:val="0"/>
              <w:adjustRightInd w:val="0"/>
            </w:pPr>
          </w:p>
          <w:p w14:paraId="4446B41B" w14:textId="77777777" w:rsidR="00D80ACD" w:rsidRDefault="00D80ACD" w:rsidP="00D80ACD">
            <w:pPr>
              <w:autoSpaceDE w:val="0"/>
              <w:autoSpaceDN w:val="0"/>
              <w:adjustRightInd w:val="0"/>
            </w:pPr>
            <w:r>
              <w:lastRenderedPageBreak/>
              <w:t>Please do not use a neutralizer to clean up spill unless you are currently in the respiratory protection program and have been properly trained.</w:t>
            </w:r>
          </w:p>
          <w:p w14:paraId="0B71F474" w14:textId="77777777" w:rsidR="00D80ACD" w:rsidRDefault="00D80ACD" w:rsidP="00CD195E">
            <w:pPr>
              <w:autoSpaceDE w:val="0"/>
              <w:autoSpaceDN w:val="0"/>
              <w:adjustRightInd w:val="0"/>
            </w:pPr>
          </w:p>
          <w:p w14:paraId="0FA17EF6" w14:textId="5356D2EE"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CA7477">
              <w:t xml:space="preserve">the large release </w:t>
            </w:r>
            <w:r w:rsidR="00D80ACD">
              <w:t>instructions above</w:t>
            </w:r>
            <w:r>
              <w:t>.</w:t>
            </w:r>
          </w:p>
          <w:p w14:paraId="02364F50" w14:textId="77777777" w:rsidR="003A6CBB" w:rsidRDefault="003A6CBB" w:rsidP="00D80ACD"/>
          <w:p w14:paraId="646408F8" w14:textId="4D586C29" w:rsidR="00D80ACD" w:rsidRPr="009B1B62" w:rsidRDefault="0055639F" w:rsidP="00D80ACD">
            <w:pPr>
              <w:rPr>
                <w:b/>
                <w:bCs/>
              </w:rPr>
            </w:pPr>
            <w:r w:rsidRPr="009B1B62">
              <w:rPr>
                <w:b/>
                <w:bCs/>
                <w:color w:val="FF0000"/>
              </w:rPr>
              <w:t xml:space="preserve">Insert lab specific information on </w:t>
            </w:r>
            <w:r w:rsidR="00634829">
              <w:rPr>
                <w:b/>
                <w:bCs/>
                <w:color w:val="FF0000"/>
              </w:rPr>
              <w:t>in</w:t>
            </w:r>
            <w:r w:rsidRPr="009B1B62">
              <w:rPr>
                <w:b/>
                <w:bCs/>
                <w:color w:val="FF0000"/>
              </w:rPr>
              <w:t>organic acid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3BCD06B2" w:rsidR="00B46839" w:rsidRDefault="00D746AA" w:rsidP="00B46839">
            <w:pPr>
              <w:pStyle w:val="ListParagraph"/>
              <w:numPr>
                <w:ilvl w:val="0"/>
                <w:numId w:val="7"/>
              </w:numPr>
              <w:autoSpaceDE w:val="0"/>
              <w:autoSpaceDN w:val="0"/>
              <w:adjustRightInd w:val="0"/>
              <w:ind w:left="226" w:hanging="270"/>
            </w:pPr>
            <w:r>
              <w:t xml:space="preserve">Store acid containers upright in a designated area such as a corrosive storage cabinet or a storage cabinet under fume hood designed for chemical storage. Storage area should be a secured, </w:t>
            </w:r>
            <w:proofErr w:type="gramStart"/>
            <w:r>
              <w:t>cool</w:t>
            </w:r>
            <w:proofErr w:type="gramEnd"/>
            <w:r>
              <w:t xml:space="preserve"> and well-ventilated area away from direct sunlight, heat, sparks, flame, or other sources of ignition</w:t>
            </w:r>
            <w:r w:rsidR="006A1B07">
              <w:t xml:space="preserve">.  </w:t>
            </w:r>
          </w:p>
          <w:p w14:paraId="49CF29B4" w14:textId="77777777" w:rsidR="00E9397A" w:rsidRDefault="00E9397A" w:rsidP="00E9397A">
            <w:pPr>
              <w:pStyle w:val="ListParagraph"/>
              <w:autoSpaceDE w:val="0"/>
              <w:autoSpaceDN w:val="0"/>
              <w:adjustRightInd w:val="0"/>
              <w:ind w:left="226"/>
            </w:pPr>
          </w:p>
          <w:p w14:paraId="2BC9C78C" w14:textId="543A454C" w:rsidR="00B46839" w:rsidRDefault="006A1B07" w:rsidP="00B46839">
            <w:pPr>
              <w:pStyle w:val="ListParagraph"/>
              <w:numPr>
                <w:ilvl w:val="0"/>
                <w:numId w:val="7"/>
              </w:numPr>
              <w:autoSpaceDE w:val="0"/>
              <w:autoSpaceDN w:val="0"/>
              <w:adjustRightInd w:val="0"/>
              <w:ind w:left="226" w:hanging="270"/>
            </w:pPr>
            <w:r>
              <w:t xml:space="preserve">Store in tightly closed </w:t>
            </w:r>
            <w:r w:rsidR="00B46839">
              <w:t xml:space="preserve">original </w:t>
            </w:r>
            <w:r>
              <w:t>container until ready for use.</w:t>
            </w:r>
            <w:r w:rsidR="00B46839">
              <w:t xml:space="preserve"> </w:t>
            </w:r>
            <w:r w:rsidR="00DD4208">
              <w:t xml:space="preserve">Containers should be in good condition and compatible with material. </w:t>
            </w:r>
            <w:r w:rsidR="00B46839">
              <w:t xml:space="preserve">Do not store in metal containers. </w:t>
            </w:r>
          </w:p>
          <w:p w14:paraId="5A815DBC" w14:textId="77777777" w:rsidR="00634829" w:rsidRDefault="00634829" w:rsidP="00634829">
            <w:pPr>
              <w:autoSpaceDE w:val="0"/>
              <w:autoSpaceDN w:val="0"/>
              <w:adjustRightInd w:val="0"/>
            </w:pPr>
          </w:p>
          <w:p w14:paraId="2B1C2F9D" w14:textId="727BE694" w:rsidR="00B46839" w:rsidRDefault="00D45721" w:rsidP="00B46839">
            <w:pPr>
              <w:pStyle w:val="ListParagraph"/>
              <w:numPr>
                <w:ilvl w:val="0"/>
                <w:numId w:val="7"/>
              </w:numPr>
              <w:autoSpaceDE w:val="0"/>
              <w:autoSpaceDN w:val="0"/>
              <w:adjustRightInd w:val="0"/>
              <w:ind w:left="226" w:hanging="270"/>
            </w:pPr>
            <w:r>
              <w:t>Store segregated from incompatible chemicals</w:t>
            </w:r>
            <w:r w:rsidR="00C451D1">
              <w:t xml:space="preserve"> such as bases</w:t>
            </w:r>
            <w:r w:rsidR="00957DD3">
              <w:t xml:space="preserve"> and organic acids</w:t>
            </w:r>
            <w:r w:rsidR="00B46839">
              <w:t xml:space="preserve"> (refer to Section 10 of SDS).</w:t>
            </w:r>
          </w:p>
          <w:p w14:paraId="5E191D9D" w14:textId="77777777" w:rsidR="00E9397A" w:rsidRDefault="00E9397A" w:rsidP="00E9397A">
            <w:pPr>
              <w:pStyle w:val="ListParagraph"/>
              <w:autoSpaceDE w:val="0"/>
              <w:autoSpaceDN w:val="0"/>
              <w:adjustRightInd w:val="0"/>
              <w:ind w:left="226"/>
            </w:pPr>
          </w:p>
          <w:p w14:paraId="426A3ED8" w14:textId="0491ED40" w:rsidR="006A1B07" w:rsidRPr="00E9397A" w:rsidRDefault="00B46839" w:rsidP="00B46839">
            <w:pPr>
              <w:pStyle w:val="ListParagraph"/>
              <w:numPr>
                <w:ilvl w:val="0"/>
                <w:numId w:val="7"/>
              </w:numPr>
              <w:autoSpaceDE w:val="0"/>
              <w:autoSpaceDN w:val="0"/>
              <w:adjustRightInd w:val="0"/>
              <w:ind w:left="226" w:hanging="270"/>
            </w:pPr>
            <w:r>
              <w:t>Organic acids, inorganic acids, and oxidizing acids must be stored separately or</w:t>
            </w:r>
            <w:r w:rsidR="006A1B07">
              <w:t xml:space="preserve"> in secondary containment such as a Nalgene/polypropylene tub.</w:t>
            </w:r>
            <w:r w:rsidR="006A1B07" w:rsidRPr="00B46839">
              <w:rPr>
                <w:rFonts w:cs="Arial"/>
              </w:rPr>
              <w:t xml:space="preserve">  </w:t>
            </w:r>
          </w:p>
          <w:p w14:paraId="6D47623A" w14:textId="77777777" w:rsidR="00E9397A" w:rsidRPr="00DD4208" w:rsidRDefault="00E9397A" w:rsidP="00E9397A">
            <w:pPr>
              <w:autoSpaceDE w:val="0"/>
              <w:autoSpaceDN w:val="0"/>
              <w:adjustRightInd w:val="0"/>
            </w:pPr>
          </w:p>
          <w:p w14:paraId="35B74C1B" w14:textId="0D70C7FE" w:rsidR="00DD4208" w:rsidRPr="00B46839" w:rsidRDefault="00DD4208" w:rsidP="00B46839">
            <w:pPr>
              <w:pStyle w:val="ListParagraph"/>
              <w:numPr>
                <w:ilvl w:val="0"/>
                <w:numId w:val="7"/>
              </w:numPr>
              <w:autoSpaceDE w:val="0"/>
              <w:autoSpaceDN w:val="0"/>
              <w:adjustRightInd w:val="0"/>
              <w:ind w:left="226" w:hanging="270"/>
            </w:pPr>
            <w:r>
              <w:rPr>
                <w:rFonts w:cs="Arial"/>
              </w:rPr>
              <w:t xml:space="preserve">Transport all </w:t>
            </w:r>
            <w:r w:rsidR="00634829">
              <w:rPr>
                <w:rFonts w:cs="Arial"/>
              </w:rPr>
              <w:t>in</w:t>
            </w:r>
            <w:r>
              <w:rPr>
                <w:rFonts w:cs="Arial"/>
              </w:rPr>
              <w:t>organic acids in secondary containment, such as polyethylene or other non-reactive</w:t>
            </w:r>
            <w:r w:rsidR="00172155">
              <w:rPr>
                <w:rFonts w:cs="Arial"/>
              </w:rPr>
              <w:t xml:space="preserve"> and non-breakable</w:t>
            </w:r>
            <w:r>
              <w:rPr>
                <w:rFonts w:cs="Arial"/>
              </w:rPr>
              <w:t xml:space="preserve"> acid/solvent bottle carrier.</w:t>
            </w:r>
          </w:p>
          <w:p w14:paraId="6BD03210" w14:textId="7FEE3F15" w:rsidR="00B46839" w:rsidRDefault="00B46839" w:rsidP="006154CC">
            <w:pPr>
              <w:pStyle w:val="ListParagraph"/>
              <w:autoSpaceDE w:val="0"/>
              <w:autoSpaceDN w:val="0"/>
              <w:adjustRightInd w:val="0"/>
              <w:ind w:left="226"/>
            </w:pPr>
          </w:p>
          <w:p w14:paraId="71F6FB57" w14:textId="6C534AEA"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634829">
              <w:rPr>
                <w:b/>
                <w:bCs/>
                <w:color w:val="FF0000"/>
              </w:rPr>
              <w:t>in</w:t>
            </w:r>
            <w:r w:rsidRPr="006154CC">
              <w:rPr>
                <w:b/>
                <w:bCs/>
                <w:color w:val="FF0000"/>
              </w:rPr>
              <w:t>organic acid controls.</w:t>
            </w:r>
          </w:p>
          <w:p w14:paraId="760C0F74" w14:textId="77777777" w:rsidR="006A6643" w:rsidRDefault="006A6643" w:rsidP="00B46839"/>
        </w:tc>
      </w:tr>
    </w:tbl>
    <w:p w14:paraId="3C8F8363" w14:textId="77777777" w:rsidR="003E3CD1" w:rsidRDefault="003E3CD1">
      <w:pPr>
        <w:jc w:val="center"/>
      </w:pPr>
      <w:r>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331865BD" w14:textId="79876E1A" w:rsidR="00104420" w:rsidRDefault="00104420" w:rsidP="00942E96">
      <w:pPr>
        <w:spacing w:line="276" w:lineRule="auto"/>
        <w:jc w:val="center"/>
        <w:rPr>
          <w:rFonts w:eastAsia="Calibri" w:cs="Arial"/>
          <w:bCs/>
          <w:sz w:val="36"/>
          <w:szCs w:val="36"/>
        </w:rPr>
      </w:pPr>
    </w:p>
    <w:p w14:paraId="5B97C2D8" w14:textId="681ACBC8" w:rsidR="00E9397A" w:rsidRDefault="00E9397A" w:rsidP="00942E96">
      <w:pPr>
        <w:spacing w:line="276" w:lineRule="auto"/>
        <w:jc w:val="center"/>
        <w:rPr>
          <w:rFonts w:eastAsia="Calibri" w:cs="Arial"/>
          <w:bCs/>
          <w:sz w:val="36"/>
          <w:szCs w:val="36"/>
        </w:rPr>
      </w:pPr>
    </w:p>
    <w:p w14:paraId="6708A666" w14:textId="51E482BA" w:rsidR="00E9397A" w:rsidRDefault="00E9397A" w:rsidP="00942E96">
      <w:pPr>
        <w:spacing w:line="276" w:lineRule="auto"/>
        <w:jc w:val="center"/>
        <w:rPr>
          <w:rFonts w:eastAsia="Calibri" w:cs="Arial"/>
          <w:bCs/>
          <w:sz w:val="36"/>
          <w:szCs w:val="36"/>
        </w:rPr>
      </w:pPr>
    </w:p>
    <w:p w14:paraId="4677F415" w14:textId="02DBB3A8" w:rsidR="00E9397A" w:rsidRDefault="00E9397A" w:rsidP="00942E96">
      <w:pPr>
        <w:spacing w:line="276" w:lineRule="auto"/>
        <w:jc w:val="center"/>
        <w:rPr>
          <w:rFonts w:eastAsia="Calibri" w:cs="Arial"/>
          <w:bCs/>
          <w:sz w:val="36"/>
          <w:szCs w:val="36"/>
        </w:rPr>
      </w:pPr>
    </w:p>
    <w:p w14:paraId="4187E855" w14:textId="15E8D67B" w:rsidR="00E9397A" w:rsidRDefault="00E9397A" w:rsidP="00942E96">
      <w:pPr>
        <w:spacing w:line="276" w:lineRule="auto"/>
        <w:jc w:val="center"/>
        <w:rPr>
          <w:rFonts w:eastAsia="Calibri" w:cs="Arial"/>
          <w:bCs/>
          <w:sz w:val="36"/>
          <w:szCs w:val="36"/>
        </w:rPr>
      </w:pPr>
    </w:p>
    <w:p w14:paraId="2078EFBF" w14:textId="5A923BAA" w:rsidR="00E9397A" w:rsidRDefault="00E9397A" w:rsidP="00942E96">
      <w:pPr>
        <w:spacing w:line="276" w:lineRule="auto"/>
        <w:jc w:val="center"/>
        <w:rPr>
          <w:rFonts w:eastAsia="Calibri" w:cs="Arial"/>
          <w:bCs/>
          <w:sz w:val="36"/>
          <w:szCs w:val="36"/>
        </w:rPr>
      </w:pPr>
    </w:p>
    <w:p w14:paraId="3707DB53" w14:textId="4375CE94" w:rsidR="00E9397A" w:rsidRDefault="00E9397A" w:rsidP="00942E96">
      <w:pPr>
        <w:spacing w:line="276" w:lineRule="auto"/>
        <w:jc w:val="center"/>
        <w:rPr>
          <w:rFonts w:eastAsia="Calibri" w:cs="Arial"/>
          <w:bCs/>
          <w:sz w:val="36"/>
          <w:szCs w:val="36"/>
        </w:rPr>
      </w:pPr>
    </w:p>
    <w:p w14:paraId="1982CBED" w14:textId="49D5F380" w:rsidR="00E9397A" w:rsidRDefault="00E9397A" w:rsidP="00942E96">
      <w:pPr>
        <w:spacing w:line="276" w:lineRule="auto"/>
        <w:jc w:val="center"/>
        <w:rPr>
          <w:rFonts w:eastAsia="Calibri" w:cs="Arial"/>
          <w:bCs/>
          <w:sz w:val="36"/>
          <w:szCs w:val="36"/>
        </w:rPr>
      </w:pPr>
    </w:p>
    <w:p w14:paraId="2FEB5C61" w14:textId="7343B7C6" w:rsidR="00E9397A" w:rsidRDefault="00E9397A" w:rsidP="00942E96">
      <w:pPr>
        <w:spacing w:line="276" w:lineRule="auto"/>
        <w:jc w:val="center"/>
        <w:rPr>
          <w:rFonts w:eastAsia="Calibri" w:cs="Arial"/>
          <w:bCs/>
          <w:sz w:val="36"/>
          <w:szCs w:val="36"/>
        </w:rPr>
      </w:pPr>
    </w:p>
    <w:p w14:paraId="07EE0C29" w14:textId="525543A8" w:rsidR="00E9397A" w:rsidRDefault="00E9397A" w:rsidP="00942E96">
      <w:pPr>
        <w:spacing w:line="276" w:lineRule="auto"/>
        <w:jc w:val="center"/>
        <w:rPr>
          <w:rFonts w:eastAsia="Calibri" w:cs="Arial"/>
          <w:bCs/>
          <w:sz w:val="36"/>
          <w:szCs w:val="36"/>
        </w:rPr>
      </w:pPr>
    </w:p>
    <w:p w14:paraId="1768F202" w14:textId="77777777" w:rsidR="001E19F0" w:rsidRDefault="001E19F0" w:rsidP="00634829">
      <w:pPr>
        <w:spacing w:line="276" w:lineRule="auto"/>
        <w:rPr>
          <w:rFonts w:eastAsia="Calibri" w:cs="Arial"/>
          <w:bCs/>
          <w:sz w:val="36"/>
          <w:szCs w:val="36"/>
        </w:rPr>
      </w:pPr>
    </w:p>
    <w:p w14:paraId="084FCDC0" w14:textId="77777777" w:rsidR="00BB6C09" w:rsidRDefault="00BB6C09"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19B0C912"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634829">
        <w:rPr>
          <w:rFonts w:eastAsia="Calibri" w:cs="Arial"/>
          <w:bCs/>
        </w:rPr>
        <w:t>Ino</w:t>
      </w:r>
      <w:r>
        <w:rPr>
          <w:rFonts w:eastAsia="Calibri" w:cs="Arial"/>
          <w:bCs/>
        </w:rPr>
        <w:t xml:space="preserve">rganic acids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9"/>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D993" w14:textId="77777777" w:rsidR="008F3470" w:rsidRDefault="008F3470" w:rsidP="00153467">
      <w:r>
        <w:separator/>
      </w:r>
    </w:p>
  </w:endnote>
  <w:endnote w:type="continuationSeparator" w:id="0">
    <w:p w14:paraId="5593EEEB" w14:textId="77777777" w:rsidR="008F3470" w:rsidRDefault="008F3470"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91BA" w14:textId="77777777" w:rsidR="008F3470" w:rsidRDefault="008F3470" w:rsidP="00153467">
      <w:r>
        <w:separator/>
      </w:r>
    </w:p>
  </w:footnote>
  <w:footnote w:type="continuationSeparator" w:id="0">
    <w:p w14:paraId="002B23A3" w14:textId="77777777" w:rsidR="008F3470" w:rsidRDefault="008F3470"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899154">
    <w:abstractNumId w:val="7"/>
  </w:num>
  <w:num w:numId="2" w16cid:durableId="1411195619">
    <w:abstractNumId w:val="2"/>
  </w:num>
  <w:num w:numId="3" w16cid:durableId="1022703082">
    <w:abstractNumId w:val="4"/>
  </w:num>
  <w:num w:numId="4" w16cid:durableId="563684549">
    <w:abstractNumId w:val="0"/>
  </w:num>
  <w:num w:numId="5" w16cid:durableId="60325559">
    <w:abstractNumId w:val="5"/>
  </w:num>
  <w:num w:numId="6" w16cid:durableId="901451530">
    <w:abstractNumId w:val="8"/>
  </w:num>
  <w:num w:numId="7" w16cid:durableId="983582115">
    <w:abstractNumId w:val="1"/>
  </w:num>
  <w:num w:numId="8" w16cid:durableId="1380084976">
    <w:abstractNumId w:val="6"/>
  </w:num>
  <w:num w:numId="9" w16cid:durableId="290788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43A5"/>
    <w:rsid w:val="000172D9"/>
    <w:rsid w:val="0002180A"/>
    <w:rsid w:val="0003259B"/>
    <w:rsid w:val="000514DD"/>
    <w:rsid w:val="00053CA1"/>
    <w:rsid w:val="00071EDE"/>
    <w:rsid w:val="00077942"/>
    <w:rsid w:val="00091169"/>
    <w:rsid w:val="000B2958"/>
    <w:rsid w:val="000D43C6"/>
    <w:rsid w:val="000D7FD7"/>
    <w:rsid w:val="000E5D5B"/>
    <w:rsid w:val="000F507D"/>
    <w:rsid w:val="00104420"/>
    <w:rsid w:val="0011111F"/>
    <w:rsid w:val="00125B3A"/>
    <w:rsid w:val="00136072"/>
    <w:rsid w:val="00150DEA"/>
    <w:rsid w:val="00151226"/>
    <w:rsid w:val="00153467"/>
    <w:rsid w:val="00172155"/>
    <w:rsid w:val="00180D33"/>
    <w:rsid w:val="001819D7"/>
    <w:rsid w:val="001909B4"/>
    <w:rsid w:val="001A570A"/>
    <w:rsid w:val="001A756F"/>
    <w:rsid w:val="001B0B55"/>
    <w:rsid w:val="001B4386"/>
    <w:rsid w:val="001C3710"/>
    <w:rsid w:val="001C6BAF"/>
    <w:rsid w:val="001D30A8"/>
    <w:rsid w:val="001D4676"/>
    <w:rsid w:val="001D65E2"/>
    <w:rsid w:val="001E031E"/>
    <w:rsid w:val="001E14BA"/>
    <w:rsid w:val="001E19F0"/>
    <w:rsid w:val="001E1A3D"/>
    <w:rsid w:val="00202743"/>
    <w:rsid w:val="0020442F"/>
    <w:rsid w:val="00206718"/>
    <w:rsid w:val="00242A71"/>
    <w:rsid w:val="00280221"/>
    <w:rsid w:val="0028038A"/>
    <w:rsid w:val="0029270A"/>
    <w:rsid w:val="002A139F"/>
    <w:rsid w:val="002A2D55"/>
    <w:rsid w:val="002B1247"/>
    <w:rsid w:val="002C6EC6"/>
    <w:rsid w:val="002E71DC"/>
    <w:rsid w:val="003032A3"/>
    <w:rsid w:val="00331345"/>
    <w:rsid w:val="00332675"/>
    <w:rsid w:val="0033274D"/>
    <w:rsid w:val="00366C3C"/>
    <w:rsid w:val="003A6CBB"/>
    <w:rsid w:val="003B4598"/>
    <w:rsid w:val="003C2888"/>
    <w:rsid w:val="003E0067"/>
    <w:rsid w:val="003E3CD1"/>
    <w:rsid w:val="003E75B1"/>
    <w:rsid w:val="003F0BA3"/>
    <w:rsid w:val="00405284"/>
    <w:rsid w:val="004112EE"/>
    <w:rsid w:val="00421FB7"/>
    <w:rsid w:val="00435128"/>
    <w:rsid w:val="00436D33"/>
    <w:rsid w:val="004504E5"/>
    <w:rsid w:val="00461656"/>
    <w:rsid w:val="00465671"/>
    <w:rsid w:val="004815AC"/>
    <w:rsid w:val="0049004C"/>
    <w:rsid w:val="00497CB9"/>
    <w:rsid w:val="004A58A3"/>
    <w:rsid w:val="004B23FC"/>
    <w:rsid w:val="004B449D"/>
    <w:rsid w:val="004E2532"/>
    <w:rsid w:val="004E7160"/>
    <w:rsid w:val="00511B52"/>
    <w:rsid w:val="00526230"/>
    <w:rsid w:val="00526F6C"/>
    <w:rsid w:val="0055639F"/>
    <w:rsid w:val="00563D81"/>
    <w:rsid w:val="00564D04"/>
    <w:rsid w:val="00572BC0"/>
    <w:rsid w:val="00580D13"/>
    <w:rsid w:val="00583A52"/>
    <w:rsid w:val="00584E82"/>
    <w:rsid w:val="005B3FB6"/>
    <w:rsid w:val="005B442C"/>
    <w:rsid w:val="005B6EB9"/>
    <w:rsid w:val="005C43CC"/>
    <w:rsid w:val="005D2B8F"/>
    <w:rsid w:val="006154CC"/>
    <w:rsid w:val="0061710F"/>
    <w:rsid w:val="00620FE6"/>
    <w:rsid w:val="00634829"/>
    <w:rsid w:val="006542AB"/>
    <w:rsid w:val="00680315"/>
    <w:rsid w:val="006914B9"/>
    <w:rsid w:val="0069320B"/>
    <w:rsid w:val="006A0EFC"/>
    <w:rsid w:val="006A1B07"/>
    <w:rsid w:val="006A277D"/>
    <w:rsid w:val="006A6643"/>
    <w:rsid w:val="006B5785"/>
    <w:rsid w:val="00713C92"/>
    <w:rsid w:val="00730A84"/>
    <w:rsid w:val="0073260F"/>
    <w:rsid w:val="00743CC7"/>
    <w:rsid w:val="00767AAA"/>
    <w:rsid w:val="007758A5"/>
    <w:rsid w:val="007A089E"/>
    <w:rsid w:val="007A2ACF"/>
    <w:rsid w:val="007B494C"/>
    <w:rsid w:val="007E72A5"/>
    <w:rsid w:val="00803CEB"/>
    <w:rsid w:val="008153EC"/>
    <w:rsid w:val="00822B6F"/>
    <w:rsid w:val="008256FB"/>
    <w:rsid w:val="008272FA"/>
    <w:rsid w:val="008277C4"/>
    <w:rsid w:val="008301CA"/>
    <w:rsid w:val="00854E88"/>
    <w:rsid w:val="0086440A"/>
    <w:rsid w:val="008828E6"/>
    <w:rsid w:val="0088709B"/>
    <w:rsid w:val="00896DAC"/>
    <w:rsid w:val="008A15F7"/>
    <w:rsid w:val="008A6161"/>
    <w:rsid w:val="008E13DD"/>
    <w:rsid w:val="008F2CDF"/>
    <w:rsid w:val="008F3470"/>
    <w:rsid w:val="00906280"/>
    <w:rsid w:val="0090641D"/>
    <w:rsid w:val="0093367C"/>
    <w:rsid w:val="00942E96"/>
    <w:rsid w:val="00952E30"/>
    <w:rsid w:val="00957DD3"/>
    <w:rsid w:val="00967281"/>
    <w:rsid w:val="009A2F5A"/>
    <w:rsid w:val="009A46A7"/>
    <w:rsid w:val="009A68D5"/>
    <w:rsid w:val="009B1B62"/>
    <w:rsid w:val="009B6CDC"/>
    <w:rsid w:val="009E7E4F"/>
    <w:rsid w:val="009F08FA"/>
    <w:rsid w:val="009F4767"/>
    <w:rsid w:val="009F5E3D"/>
    <w:rsid w:val="00A121AD"/>
    <w:rsid w:val="00A2330E"/>
    <w:rsid w:val="00A34490"/>
    <w:rsid w:val="00A44681"/>
    <w:rsid w:val="00A474B2"/>
    <w:rsid w:val="00A52324"/>
    <w:rsid w:val="00A66F89"/>
    <w:rsid w:val="00A7265C"/>
    <w:rsid w:val="00A8161B"/>
    <w:rsid w:val="00A86387"/>
    <w:rsid w:val="00AA7BB3"/>
    <w:rsid w:val="00AB7DD6"/>
    <w:rsid w:val="00AC1B9F"/>
    <w:rsid w:val="00AE46CB"/>
    <w:rsid w:val="00AF6A1F"/>
    <w:rsid w:val="00B0388D"/>
    <w:rsid w:val="00B13828"/>
    <w:rsid w:val="00B32207"/>
    <w:rsid w:val="00B352B6"/>
    <w:rsid w:val="00B46839"/>
    <w:rsid w:val="00B54920"/>
    <w:rsid w:val="00B60786"/>
    <w:rsid w:val="00B6162C"/>
    <w:rsid w:val="00B76D05"/>
    <w:rsid w:val="00B8019B"/>
    <w:rsid w:val="00B96D2D"/>
    <w:rsid w:val="00BA0340"/>
    <w:rsid w:val="00BA7462"/>
    <w:rsid w:val="00BB42A4"/>
    <w:rsid w:val="00BB6C09"/>
    <w:rsid w:val="00BD0767"/>
    <w:rsid w:val="00BE5D33"/>
    <w:rsid w:val="00C01272"/>
    <w:rsid w:val="00C4396D"/>
    <w:rsid w:val="00C451D1"/>
    <w:rsid w:val="00C466FA"/>
    <w:rsid w:val="00C54FF8"/>
    <w:rsid w:val="00C8001A"/>
    <w:rsid w:val="00C835F9"/>
    <w:rsid w:val="00C87AC7"/>
    <w:rsid w:val="00CA7477"/>
    <w:rsid w:val="00CB10D8"/>
    <w:rsid w:val="00CB45AE"/>
    <w:rsid w:val="00CB5360"/>
    <w:rsid w:val="00CD195E"/>
    <w:rsid w:val="00CD4E2B"/>
    <w:rsid w:val="00CE627C"/>
    <w:rsid w:val="00D24CF9"/>
    <w:rsid w:val="00D3385C"/>
    <w:rsid w:val="00D45721"/>
    <w:rsid w:val="00D46C9D"/>
    <w:rsid w:val="00D707A5"/>
    <w:rsid w:val="00D746AA"/>
    <w:rsid w:val="00D75424"/>
    <w:rsid w:val="00D80ACD"/>
    <w:rsid w:val="00D80E1D"/>
    <w:rsid w:val="00DB4135"/>
    <w:rsid w:val="00DC7532"/>
    <w:rsid w:val="00DD4208"/>
    <w:rsid w:val="00DE5D18"/>
    <w:rsid w:val="00DF2CE8"/>
    <w:rsid w:val="00E0375B"/>
    <w:rsid w:val="00E15473"/>
    <w:rsid w:val="00E3179D"/>
    <w:rsid w:val="00E362B1"/>
    <w:rsid w:val="00E37318"/>
    <w:rsid w:val="00E40AC3"/>
    <w:rsid w:val="00E40EE8"/>
    <w:rsid w:val="00E4771D"/>
    <w:rsid w:val="00E56778"/>
    <w:rsid w:val="00E65D8E"/>
    <w:rsid w:val="00E8012A"/>
    <w:rsid w:val="00E84206"/>
    <w:rsid w:val="00E843D5"/>
    <w:rsid w:val="00E9397A"/>
    <w:rsid w:val="00EA6044"/>
    <w:rsid w:val="00EC5C0F"/>
    <w:rsid w:val="00EC64CE"/>
    <w:rsid w:val="00F01BB7"/>
    <w:rsid w:val="00F063D6"/>
    <w:rsid w:val="00F11E85"/>
    <w:rsid w:val="00F13C16"/>
    <w:rsid w:val="00F31AAA"/>
    <w:rsid w:val="00F326B2"/>
    <w:rsid w:val="00F44BE1"/>
    <w:rsid w:val="00F50460"/>
    <w:rsid w:val="00F635AB"/>
    <w:rsid w:val="00F64F06"/>
    <w:rsid w:val="00F72222"/>
    <w:rsid w:val="00F85134"/>
    <w:rsid w:val="00F87C14"/>
    <w:rsid w:val="00F95DD0"/>
    <w:rsid w:val="00FA4D90"/>
    <w:rsid w:val="00FD4A57"/>
    <w:rsid w:val="00FF1423"/>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ehs.wsu.edu/contact-inform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hyperlink" Target="https://apps.leg.wa.gov/wac/default.aspx?cite=173-303-100" TargetMode="External"/><Relationship Id="rId2" Type="http://schemas.openxmlformats.org/officeDocument/2006/relationships/styles" Target="styles.xml"/><Relationship Id="rId16" Type="http://schemas.openxmlformats.org/officeDocument/2006/relationships/hyperlink" Target="https://ehs.wsu.edu/Chemical-Was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ohs-chemhazardcommunication/ohs-workplacelabels/"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2006-08-31T21:46:00Z</cp:lastPrinted>
  <dcterms:created xsi:type="dcterms:W3CDTF">2024-05-03T16:26:00Z</dcterms:created>
  <dcterms:modified xsi:type="dcterms:W3CDTF">2024-05-03T16:27:00Z</dcterms:modified>
</cp:coreProperties>
</file>