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64A19806" w:rsidR="008153EC" w:rsidRDefault="00915706" w:rsidP="00A121AD">
      <w:pPr>
        <w:pStyle w:val="Heading2"/>
        <w:rPr>
          <w:b w:val="0"/>
          <w:bCs/>
          <w:sz w:val="28"/>
          <w:szCs w:val="28"/>
        </w:rPr>
      </w:pPr>
      <w:r>
        <w:rPr>
          <w:b w:val="0"/>
          <w:bCs/>
          <w:sz w:val="28"/>
          <w:szCs w:val="28"/>
        </w:rPr>
        <w:t>Acutely</w:t>
      </w:r>
      <w:r w:rsidR="0005394A">
        <w:rPr>
          <w:b w:val="0"/>
          <w:bCs/>
          <w:sz w:val="28"/>
          <w:szCs w:val="28"/>
        </w:rPr>
        <w:t xml:space="preserve"> Tox</w:t>
      </w:r>
      <w:r>
        <w:rPr>
          <w:b w:val="0"/>
          <w:bCs/>
          <w:sz w:val="28"/>
          <w:szCs w:val="28"/>
        </w:rPr>
        <w:t xml:space="preserve">ic </w:t>
      </w:r>
      <w:r w:rsidR="00B45A31">
        <w:rPr>
          <w:b w:val="0"/>
          <w:bCs/>
          <w:sz w:val="28"/>
          <w:szCs w:val="28"/>
        </w:rPr>
        <w:t>Materials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4D55DD">
        <w:trPr>
          <w:trHeight w:val="125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AF18504" w:rsidR="007A2ACF" w:rsidRDefault="00B96D2D" w:rsidP="00A52324">
            <w:pPr>
              <w:rPr>
                <w:rFonts w:cs="Arial"/>
                <w:b/>
              </w:rPr>
            </w:pPr>
            <w:r>
              <w:rPr>
                <w:rFonts w:cs="Arial"/>
                <w:b/>
                <w:u w:val="single"/>
              </w:rPr>
              <w:t xml:space="preserve">Examples of </w:t>
            </w:r>
            <w:r w:rsidR="00915706">
              <w:rPr>
                <w:rFonts w:cs="Arial"/>
                <w:b/>
                <w:u w:val="single"/>
              </w:rPr>
              <w:t xml:space="preserve">Acutely Toxic </w:t>
            </w:r>
            <w:r w:rsidR="00B44953">
              <w:rPr>
                <w:rFonts w:cs="Arial"/>
                <w:b/>
                <w:u w:val="single"/>
              </w:rPr>
              <w:t>Materials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340AAD" w14:paraId="20595C67" w14:textId="77777777" w:rsidTr="002A139F">
              <w:tc>
                <w:tcPr>
                  <w:tcW w:w="2362" w:type="dxa"/>
                </w:tcPr>
                <w:p w14:paraId="1EED5ABE" w14:textId="6CD41D8D" w:rsidR="00340AAD" w:rsidRDefault="00E85A86" w:rsidP="00340AAD">
                  <w:pPr>
                    <w:rPr>
                      <w:rFonts w:cs="Arial"/>
                      <w:bCs/>
                    </w:rPr>
                  </w:pPr>
                  <w:r>
                    <w:rPr>
                      <w:rFonts w:cs="Arial"/>
                      <w:bCs/>
                    </w:rPr>
                    <w:t>Acrolein</w:t>
                  </w:r>
                </w:p>
              </w:tc>
              <w:tc>
                <w:tcPr>
                  <w:tcW w:w="2362" w:type="dxa"/>
                </w:tcPr>
                <w:p w14:paraId="12BEF25C" w14:textId="0E7CCFCF" w:rsidR="00340AAD" w:rsidRDefault="00E85A86" w:rsidP="00340AAD">
                  <w:pPr>
                    <w:rPr>
                      <w:rFonts w:cs="Arial"/>
                      <w:bCs/>
                    </w:rPr>
                  </w:pPr>
                  <w:r>
                    <w:rPr>
                      <w:rFonts w:cs="Arial"/>
                      <w:bCs/>
                    </w:rPr>
                    <w:t>Arsine</w:t>
                  </w:r>
                </w:p>
              </w:tc>
              <w:tc>
                <w:tcPr>
                  <w:tcW w:w="2363" w:type="dxa"/>
                </w:tcPr>
                <w:p w14:paraId="426463E7" w14:textId="24A5F714" w:rsidR="00340AAD" w:rsidRDefault="003E09A8" w:rsidP="00340AAD">
                  <w:pPr>
                    <w:rPr>
                      <w:rFonts w:cs="Arial"/>
                      <w:bCs/>
                    </w:rPr>
                  </w:pPr>
                  <w:r>
                    <w:rPr>
                      <w:rFonts w:cs="Arial"/>
                      <w:bCs/>
                    </w:rPr>
                    <w:t>Bromine</w:t>
                  </w:r>
                </w:p>
              </w:tc>
            </w:tr>
            <w:tr w:rsidR="00340AAD" w14:paraId="1639ABAE" w14:textId="77777777" w:rsidTr="002A139F">
              <w:tc>
                <w:tcPr>
                  <w:tcW w:w="2362" w:type="dxa"/>
                </w:tcPr>
                <w:p w14:paraId="1F3A99D6" w14:textId="670D500A" w:rsidR="00340AAD" w:rsidRDefault="003E09A8" w:rsidP="00340AAD">
                  <w:pPr>
                    <w:rPr>
                      <w:rFonts w:cs="Arial"/>
                      <w:bCs/>
                    </w:rPr>
                  </w:pPr>
                  <w:r>
                    <w:rPr>
                      <w:rFonts w:cs="Arial"/>
                      <w:bCs/>
                    </w:rPr>
                    <w:t>Chlorine</w:t>
                  </w:r>
                </w:p>
              </w:tc>
              <w:tc>
                <w:tcPr>
                  <w:tcW w:w="2362" w:type="dxa"/>
                </w:tcPr>
                <w:p w14:paraId="262C65FC" w14:textId="298FFC00" w:rsidR="00340AAD" w:rsidRDefault="003E09A8" w:rsidP="00340AAD">
                  <w:pPr>
                    <w:rPr>
                      <w:rFonts w:cs="Arial"/>
                      <w:bCs/>
                    </w:rPr>
                  </w:pPr>
                  <w:r>
                    <w:rPr>
                      <w:rFonts w:cs="Arial"/>
                      <w:bCs/>
                    </w:rPr>
                    <w:t>Diazomethane</w:t>
                  </w:r>
                </w:p>
              </w:tc>
              <w:tc>
                <w:tcPr>
                  <w:tcW w:w="2363" w:type="dxa"/>
                </w:tcPr>
                <w:p w14:paraId="105133B7" w14:textId="30F140D6" w:rsidR="00340AAD" w:rsidRDefault="003E09A8" w:rsidP="00340AAD">
                  <w:pPr>
                    <w:rPr>
                      <w:rFonts w:cs="Arial"/>
                      <w:bCs/>
                    </w:rPr>
                  </w:pPr>
                  <w:r>
                    <w:rPr>
                      <w:rFonts w:cs="Arial"/>
                      <w:bCs/>
                    </w:rPr>
                    <w:t>Diborane (gas)</w:t>
                  </w:r>
                </w:p>
              </w:tc>
            </w:tr>
            <w:tr w:rsidR="00340AAD" w14:paraId="42798604" w14:textId="77777777" w:rsidTr="002A139F">
              <w:tc>
                <w:tcPr>
                  <w:tcW w:w="2362" w:type="dxa"/>
                </w:tcPr>
                <w:p w14:paraId="56DD4701" w14:textId="5514BC31" w:rsidR="00340AAD" w:rsidRPr="00340AAD" w:rsidRDefault="003E09A8" w:rsidP="00340AAD">
                  <w:pPr>
                    <w:rPr>
                      <w:rFonts w:cs="Arial"/>
                      <w:bCs/>
                    </w:rPr>
                  </w:pPr>
                  <w:r>
                    <w:rPr>
                      <w:rFonts w:cs="Arial"/>
                      <w:bCs/>
                    </w:rPr>
                    <w:t>Dimethyl mercury</w:t>
                  </w:r>
                </w:p>
              </w:tc>
              <w:tc>
                <w:tcPr>
                  <w:tcW w:w="2362" w:type="dxa"/>
                </w:tcPr>
                <w:p w14:paraId="01F9CA4F" w14:textId="657249E3" w:rsidR="00340AAD" w:rsidRDefault="003E09A8" w:rsidP="00340AAD">
                  <w:pPr>
                    <w:rPr>
                      <w:rFonts w:cs="Arial"/>
                      <w:bCs/>
                    </w:rPr>
                  </w:pPr>
                  <w:r>
                    <w:rPr>
                      <w:rFonts w:cs="Arial"/>
                      <w:bCs/>
                    </w:rPr>
                    <w:t>Hydrogen cyanide</w:t>
                  </w:r>
                </w:p>
              </w:tc>
              <w:tc>
                <w:tcPr>
                  <w:tcW w:w="2363" w:type="dxa"/>
                </w:tcPr>
                <w:p w14:paraId="66D2DD1D" w14:textId="0A71B5AD" w:rsidR="00340AAD" w:rsidRDefault="003E09A8" w:rsidP="00340AAD">
                  <w:pPr>
                    <w:rPr>
                      <w:rFonts w:cs="Arial"/>
                      <w:bCs/>
                    </w:rPr>
                  </w:pPr>
                  <w:r>
                    <w:rPr>
                      <w:rFonts w:cs="Arial"/>
                      <w:bCs/>
                    </w:rPr>
                    <w:t>Hydrogen fluoride</w:t>
                  </w:r>
                </w:p>
              </w:tc>
            </w:tr>
            <w:tr w:rsidR="003E09A8" w14:paraId="2D597A67" w14:textId="77777777" w:rsidTr="002A139F">
              <w:tc>
                <w:tcPr>
                  <w:tcW w:w="2362" w:type="dxa"/>
                </w:tcPr>
                <w:p w14:paraId="3A436F4A" w14:textId="77572BEB" w:rsidR="003E09A8" w:rsidRPr="00340AAD" w:rsidRDefault="003E09A8" w:rsidP="003E09A8">
                  <w:pPr>
                    <w:rPr>
                      <w:rFonts w:cs="Arial"/>
                      <w:bCs/>
                    </w:rPr>
                  </w:pPr>
                  <w:proofErr w:type="spellStart"/>
                  <w:r>
                    <w:rPr>
                      <w:rFonts w:cs="Arial"/>
                      <w:bCs/>
                    </w:rPr>
                    <w:t>Methylfluorosulfonate</w:t>
                  </w:r>
                  <w:proofErr w:type="spellEnd"/>
                </w:p>
              </w:tc>
              <w:tc>
                <w:tcPr>
                  <w:tcW w:w="2362" w:type="dxa"/>
                </w:tcPr>
                <w:p w14:paraId="48113316" w14:textId="0B133531" w:rsidR="003E09A8" w:rsidRDefault="003E09A8" w:rsidP="003E09A8">
                  <w:pPr>
                    <w:rPr>
                      <w:rFonts w:cs="Arial"/>
                      <w:bCs/>
                    </w:rPr>
                  </w:pPr>
                  <w:r>
                    <w:rPr>
                      <w:rFonts w:cs="Arial"/>
                      <w:bCs/>
                    </w:rPr>
                    <w:t>Nickel carbonyl</w:t>
                  </w:r>
                </w:p>
              </w:tc>
              <w:tc>
                <w:tcPr>
                  <w:tcW w:w="2363" w:type="dxa"/>
                </w:tcPr>
                <w:p w14:paraId="56E1BE97" w14:textId="05E495A8" w:rsidR="003E09A8" w:rsidRPr="002468B9" w:rsidRDefault="003E09A8" w:rsidP="003E09A8">
                  <w:pPr>
                    <w:rPr>
                      <w:rFonts w:cs="Arial"/>
                      <w:bCs/>
                      <w:sz w:val="18"/>
                      <w:szCs w:val="18"/>
                    </w:rPr>
                  </w:pPr>
                  <w:r>
                    <w:rPr>
                      <w:rFonts w:cs="Arial"/>
                      <w:bCs/>
                    </w:rPr>
                    <w:t>Nitrogen dioxide</w:t>
                  </w:r>
                </w:p>
              </w:tc>
            </w:tr>
            <w:tr w:rsidR="003E09A8" w14:paraId="6A472FF6" w14:textId="77777777" w:rsidTr="002A139F">
              <w:tc>
                <w:tcPr>
                  <w:tcW w:w="2362" w:type="dxa"/>
                </w:tcPr>
                <w:p w14:paraId="3D7BEE87" w14:textId="6C4C5086" w:rsidR="003E09A8" w:rsidRDefault="003E09A8" w:rsidP="003E09A8">
                  <w:pPr>
                    <w:rPr>
                      <w:rFonts w:cs="Arial"/>
                      <w:bCs/>
                    </w:rPr>
                  </w:pPr>
                  <w:proofErr w:type="spellStart"/>
                  <w:r>
                    <w:rPr>
                      <w:rFonts w:cs="Arial"/>
                      <w:bCs/>
                    </w:rPr>
                    <w:t>Organolead</w:t>
                  </w:r>
                  <w:proofErr w:type="spellEnd"/>
                  <w:r>
                    <w:rPr>
                      <w:rFonts w:cs="Arial"/>
                      <w:bCs/>
                    </w:rPr>
                    <w:t xml:space="preserve"> compounds</w:t>
                  </w:r>
                </w:p>
              </w:tc>
              <w:tc>
                <w:tcPr>
                  <w:tcW w:w="2362" w:type="dxa"/>
                </w:tcPr>
                <w:p w14:paraId="567A9359" w14:textId="25171533" w:rsidR="003E09A8" w:rsidRPr="003E09A8" w:rsidRDefault="003E09A8" w:rsidP="003E09A8">
                  <w:pPr>
                    <w:rPr>
                      <w:rFonts w:cs="Arial"/>
                      <w:bCs/>
                      <w:sz w:val="16"/>
                      <w:szCs w:val="16"/>
                    </w:rPr>
                  </w:pPr>
                  <w:r w:rsidRPr="003E09A8">
                    <w:rPr>
                      <w:rFonts w:cs="Arial"/>
                      <w:bCs/>
                      <w:sz w:val="16"/>
                      <w:szCs w:val="16"/>
                    </w:rPr>
                    <w:t>Organomercury compounds</w:t>
                  </w:r>
                </w:p>
              </w:tc>
              <w:tc>
                <w:tcPr>
                  <w:tcW w:w="2363" w:type="dxa"/>
                </w:tcPr>
                <w:p w14:paraId="3773A329" w14:textId="7378B993" w:rsidR="003E09A8" w:rsidRDefault="003E09A8" w:rsidP="003E09A8">
                  <w:pPr>
                    <w:rPr>
                      <w:rFonts w:cs="Arial"/>
                      <w:bCs/>
                    </w:rPr>
                  </w:pPr>
                  <w:r>
                    <w:rPr>
                      <w:rFonts w:cs="Arial"/>
                      <w:bCs/>
                      <w:sz w:val="18"/>
                      <w:szCs w:val="18"/>
                    </w:rPr>
                    <w:t>Osmium tetroxide</w:t>
                  </w:r>
                </w:p>
              </w:tc>
            </w:tr>
            <w:tr w:rsidR="003E09A8" w14:paraId="1E0511FC" w14:textId="77777777" w:rsidTr="002A139F">
              <w:tc>
                <w:tcPr>
                  <w:tcW w:w="2362" w:type="dxa"/>
                </w:tcPr>
                <w:p w14:paraId="6A63ED13" w14:textId="340EE09A" w:rsidR="003E09A8" w:rsidRDefault="003E09A8" w:rsidP="003E09A8">
                  <w:pPr>
                    <w:rPr>
                      <w:rFonts w:cs="Arial"/>
                      <w:bCs/>
                    </w:rPr>
                  </w:pPr>
                  <w:r>
                    <w:rPr>
                      <w:rFonts w:cs="Arial"/>
                      <w:bCs/>
                    </w:rPr>
                    <w:t>Ozone</w:t>
                  </w:r>
                </w:p>
              </w:tc>
              <w:tc>
                <w:tcPr>
                  <w:tcW w:w="2362" w:type="dxa"/>
                </w:tcPr>
                <w:p w14:paraId="168ADB8E" w14:textId="1FAB45C2" w:rsidR="003E09A8" w:rsidRDefault="003E09A8" w:rsidP="003E09A8">
                  <w:pPr>
                    <w:rPr>
                      <w:rFonts w:cs="Arial"/>
                      <w:bCs/>
                    </w:rPr>
                  </w:pPr>
                  <w:r>
                    <w:rPr>
                      <w:rFonts w:cs="Arial"/>
                      <w:bCs/>
                    </w:rPr>
                    <w:t>Pentaborane</w:t>
                  </w:r>
                </w:p>
              </w:tc>
              <w:tc>
                <w:tcPr>
                  <w:tcW w:w="2363" w:type="dxa"/>
                </w:tcPr>
                <w:p w14:paraId="68158E68" w14:textId="72D49A4C" w:rsidR="003E09A8" w:rsidRDefault="003E09A8" w:rsidP="003E09A8">
                  <w:pPr>
                    <w:rPr>
                      <w:rFonts w:cs="Arial"/>
                      <w:bCs/>
                    </w:rPr>
                  </w:pPr>
                  <w:r>
                    <w:rPr>
                      <w:rFonts w:cs="Arial"/>
                      <w:bCs/>
                    </w:rPr>
                    <w:t>Phosgene</w:t>
                  </w:r>
                </w:p>
              </w:tc>
            </w:tr>
            <w:tr w:rsidR="003E09A8" w14:paraId="5ECAC2A7" w14:textId="77777777" w:rsidTr="002A139F">
              <w:tc>
                <w:tcPr>
                  <w:tcW w:w="2362" w:type="dxa"/>
                </w:tcPr>
                <w:p w14:paraId="6A366224" w14:textId="5572399E" w:rsidR="003E09A8" w:rsidRDefault="003E09A8" w:rsidP="003E09A8">
                  <w:pPr>
                    <w:rPr>
                      <w:rFonts w:cs="Arial"/>
                      <w:bCs/>
                    </w:rPr>
                  </w:pPr>
                  <w:r>
                    <w:rPr>
                      <w:rFonts w:cs="Arial"/>
                      <w:bCs/>
                    </w:rPr>
                    <w:t xml:space="preserve">Sodium </w:t>
                  </w:r>
                  <w:proofErr w:type="spellStart"/>
                  <w:r>
                    <w:rPr>
                      <w:rFonts w:cs="Arial"/>
                      <w:bCs/>
                    </w:rPr>
                    <w:t>azide</w:t>
                  </w:r>
                  <w:proofErr w:type="spellEnd"/>
                </w:p>
              </w:tc>
              <w:tc>
                <w:tcPr>
                  <w:tcW w:w="2362" w:type="dxa"/>
                </w:tcPr>
                <w:p w14:paraId="4360007B" w14:textId="06C6417C" w:rsidR="003E09A8" w:rsidRDefault="003E09A8" w:rsidP="003E09A8">
                  <w:pPr>
                    <w:rPr>
                      <w:rFonts w:cs="Arial"/>
                      <w:bCs/>
                    </w:rPr>
                  </w:pPr>
                  <w:r>
                    <w:rPr>
                      <w:rFonts w:cs="Arial"/>
                      <w:bCs/>
                    </w:rPr>
                    <w:t>Sodium cyanide and other cyanide salts</w:t>
                  </w:r>
                </w:p>
              </w:tc>
              <w:tc>
                <w:tcPr>
                  <w:tcW w:w="2363" w:type="dxa"/>
                </w:tcPr>
                <w:p w14:paraId="54FF3CC2" w14:textId="5B5CA98F" w:rsidR="003E09A8" w:rsidRDefault="003E09A8" w:rsidP="003E09A8">
                  <w:pPr>
                    <w:rPr>
                      <w:rFonts w:cs="Arial"/>
                      <w:bCs/>
                    </w:rPr>
                  </w:pPr>
                  <w:r>
                    <w:rPr>
                      <w:rFonts w:cs="Arial"/>
                      <w:bCs/>
                    </w:rPr>
                    <w:t>Tetramethylammonium hydroxide (TMAH)</w:t>
                  </w:r>
                </w:p>
              </w:tc>
            </w:tr>
          </w:tbl>
          <w:p w14:paraId="02558CBF" w14:textId="0306599D" w:rsidR="003E3CD1" w:rsidRDefault="003E3CD1" w:rsidP="00F063D6">
            <w:pPr>
              <w:tabs>
                <w:tab w:val="left" w:pos="2952"/>
              </w:tabs>
            </w:pPr>
          </w:p>
          <w:p w14:paraId="07F79D13" w14:textId="0E1D5EE2" w:rsidR="00281CAF" w:rsidRPr="00281CAF" w:rsidRDefault="00C85F65" w:rsidP="00B90EE2">
            <w:pPr>
              <w:pStyle w:val="Default"/>
              <w:spacing w:after="120"/>
              <w:rPr>
                <w:rFonts w:ascii="Arial" w:hAnsi="Arial" w:cs="Arial"/>
                <w:sz w:val="20"/>
                <w:szCs w:val="20"/>
              </w:rPr>
            </w:pPr>
            <w:r w:rsidRPr="00C85F65">
              <w:rPr>
                <w:rFonts w:ascii="Arial" w:hAnsi="Arial" w:cs="Arial"/>
                <w:sz w:val="20"/>
                <w:szCs w:val="20"/>
              </w:rPr>
              <w:t>This SOP</w:t>
            </w:r>
            <w:r>
              <w:rPr>
                <w:rFonts w:ascii="Arial" w:hAnsi="Arial" w:cs="Arial"/>
                <w:sz w:val="20"/>
                <w:szCs w:val="20"/>
              </w:rPr>
              <w:t xml:space="preserve"> supports the use of </w:t>
            </w:r>
            <w:r w:rsidR="00E03E60">
              <w:rPr>
                <w:rFonts w:ascii="Arial" w:hAnsi="Arial" w:cs="Arial"/>
                <w:b/>
                <w:bCs/>
                <w:sz w:val="20"/>
                <w:szCs w:val="20"/>
              </w:rPr>
              <w:t>a</w:t>
            </w:r>
            <w:r w:rsidR="00915706" w:rsidRPr="00C85F65">
              <w:rPr>
                <w:rFonts w:ascii="Arial" w:hAnsi="Arial" w:cs="Arial"/>
                <w:b/>
                <w:bCs/>
                <w:sz w:val="20"/>
                <w:szCs w:val="20"/>
              </w:rPr>
              <w:t xml:space="preserve">cutely </w:t>
            </w:r>
            <w:r w:rsidR="00E03E60">
              <w:rPr>
                <w:rFonts w:ascii="Arial" w:hAnsi="Arial" w:cs="Arial"/>
                <w:b/>
                <w:bCs/>
                <w:sz w:val="20"/>
                <w:szCs w:val="20"/>
              </w:rPr>
              <w:t>t</w:t>
            </w:r>
            <w:r w:rsidR="00915706" w:rsidRPr="00C85F65">
              <w:rPr>
                <w:rFonts w:ascii="Arial" w:hAnsi="Arial" w:cs="Arial"/>
                <w:b/>
                <w:bCs/>
                <w:sz w:val="20"/>
                <w:szCs w:val="20"/>
              </w:rPr>
              <w:t>oxic</w:t>
            </w:r>
            <w:r w:rsidR="00915706">
              <w:rPr>
                <w:rFonts w:ascii="Arial" w:hAnsi="Arial" w:cs="Arial"/>
                <w:b/>
                <w:bCs/>
                <w:sz w:val="20"/>
                <w:szCs w:val="20"/>
              </w:rPr>
              <w:t xml:space="preserve"> </w:t>
            </w:r>
            <w:r w:rsidR="00267C69">
              <w:rPr>
                <w:rFonts w:ascii="Arial" w:hAnsi="Arial" w:cs="Arial"/>
                <w:sz w:val="20"/>
                <w:szCs w:val="20"/>
              </w:rPr>
              <w:t>materials</w:t>
            </w:r>
            <w:r>
              <w:rPr>
                <w:rFonts w:ascii="Arial" w:hAnsi="Arial" w:cs="Arial"/>
                <w:sz w:val="20"/>
                <w:szCs w:val="20"/>
              </w:rPr>
              <w:t>, which</w:t>
            </w:r>
            <w:r w:rsidR="00A32CC1" w:rsidRPr="00A32CC1">
              <w:rPr>
                <w:rFonts w:ascii="Arial" w:hAnsi="Arial" w:cs="Arial"/>
                <w:sz w:val="20"/>
                <w:szCs w:val="20"/>
              </w:rPr>
              <w:t xml:space="preserve"> </w:t>
            </w:r>
            <w:r w:rsidR="00000FEF">
              <w:rPr>
                <w:rFonts w:ascii="Arial" w:hAnsi="Arial" w:cs="Arial"/>
                <w:sz w:val="20"/>
                <w:szCs w:val="20"/>
              </w:rPr>
              <w:t>include</w:t>
            </w:r>
            <w:r w:rsidR="000F3DF2" w:rsidRPr="000F3DF2">
              <w:rPr>
                <w:rFonts w:ascii="Arial" w:hAnsi="Arial" w:cs="Arial"/>
                <w:sz w:val="20"/>
                <w:szCs w:val="20"/>
              </w:rPr>
              <w:t xml:space="preserve"> substances </w:t>
            </w:r>
            <w:r w:rsidR="00A32CC1">
              <w:rPr>
                <w:rFonts w:ascii="Arial" w:hAnsi="Arial" w:cs="Arial"/>
                <w:sz w:val="20"/>
                <w:szCs w:val="20"/>
              </w:rPr>
              <w:t xml:space="preserve">or a mixture of substances, organisms or agents </w:t>
            </w:r>
            <w:r w:rsidR="003F00CD" w:rsidRPr="003F00CD">
              <w:rPr>
                <w:rFonts w:ascii="Arial" w:hAnsi="Arial" w:cs="Arial"/>
                <w:sz w:val="20"/>
                <w:szCs w:val="20"/>
              </w:rPr>
              <w:t>that</w:t>
            </w:r>
            <w:r w:rsidR="00106518">
              <w:rPr>
                <w:rFonts w:ascii="Arial" w:hAnsi="Arial" w:cs="Arial"/>
                <w:sz w:val="20"/>
                <w:szCs w:val="20"/>
              </w:rPr>
              <w:t xml:space="preserve"> </w:t>
            </w:r>
            <w:r w:rsidR="00106518" w:rsidRPr="00106518">
              <w:rPr>
                <w:rFonts w:ascii="Arial" w:hAnsi="Arial" w:cs="Arial"/>
                <w:sz w:val="20"/>
                <w:szCs w:val="20"/>
              </w:rPr>
              <w:t xml:space="preserve">may be fatal or cause damage to target organs as the result of a single exposure or exposure of short duration. </w:t>
            </w:r>
          </w:p>
          <w:p w14:paraId="685821BE" w14:textId="47D042AB" w:rsidR="00A34152" w:rsidRDefault="00281CAF" w:rsidP="00E9653A">
            <w:pPr>
              <w:pStyle w:val="Default"/>
              <w:spacing w:after="60"/>
              <w:rPr>
                <w:rFonts w:ascii="Arial" w:hAnsi="Arial" w:cs="Arial"/>
                <w:sz w:val="20"/>
                <w:szCs w:val="20"/>
              </w:rPr>
            </w:pPr>
            <w:r>
              <w:rPr>
                <w:rFonts w:ascii="Arial" w:hAnsi="Arial" w:cs="Arial"/>
                <w:sz w:val="20"/>
                <w:szCs w:val="20"/>
              </w:rPr>
              <w:t>WAC 296-</w:t>
            </w:r>
            <w:r w:rsidR="00D54E39">
              <w:rPr>
                <w:rFonts w:ascii="Arial" w:hAnsi="Arial" w:cs="Arial"/>
                <w:sz w:val="20"/>
                <w:szCs w:val="20"/>
              </w:rPr>
              <w:t>901</w:t>
            </w:r>
            <w:r>
              <w:rPr>
                <w:rFonts w:ascii="Arial" w:hAnsi="Arial" w:cs="Arial"/>
                <w:sz w:val="20"/>
                <w:szCs w:val="20"/>
              </w:rPr>
              <w:t>, Hazard C</w:t>
            </w:r>
            <w:r w:rsidR="00D54E39">
              <w:rPr>
                <w:rFonts w:ascii="Arial" w:hAnsi="Arial" w:cs="Arial"/>
                <w:sz w:val="20"/>
                <w:szCs w:val="20"/>
              </w:rPr>
              <w:t>ommunication</w:t>
            </w:r>
            <w:r>
              <w:rPr>
                <w:rFonts w:ascii="Arial" w:hAnsi="Arial" w:cs="Arial"/>
                <w:sz w:val="20"/>
                <w:szCs w:val="20"/>
              </w:rPr>
              <w:t xml:space="preserve">, defines </w:t>
            </w:r>
            <w:r w:rsidRPr="00281CAF">
              <w:rPr>
                <w:rFonts w:ascii="Arial" w:hAnsi="Arial" w:cs="Arial"/>
                <w:b/>
                <w:bCs/>
                <w:sz w:val="20"/>
                <w:szCs w:val="20"/>
              </w:rPr>
              <w:t>“</w:t>
            </w:r>
            <w:r w:rsidR="00D54E39">
              <w:rPr>
                <w:rFonts w:ascii="Arial" w:hAnsi="Arial" w:cs="Arial"/>
                <w:b/>
                <w:bCs/>
                <w:sz w:val="20"/>
                <w:szCs w:val="20"/>
              </w:rPr>
              <w:t>Acute Toxicity</w:t>
            </w:r>
            <w:r>
              <w:rPr>
                <w:rFonts w:ascii="Arial" w:hAnsi="Arial" w:cs="Arial"/>
                <w:b/>
                <w:bCs/>
                <w:sz w:val="20"/>
                <w:szCs w:val="20"/>
              </w:rPr>
              <w:t xml:space="preserve">” </w:t>
            </w:r>
            <w:r w:rsidRPr="00281CAF">
              <w:rPr>
                <w:rFonts w:ascii="Arial" w:hAnsi="Arial" w:cs="Arial"/>
                <w:sz w:val="20"/>
                <w:szCs w:val="20"/>
              </w:rPr>
              <w:t>as</w:t>
            </w:r>
            <w:r w:rsidR="00D54E39">
              <w:rPr>
                <w:rFonts w:ascii="Arial" w:hAnsi="Arial" w:cs="Arial"/>
                <w:sz w:val="20"/>
                <w:szCs w:val="20"/>
              </w:rPr>
              <w:t xml:space="preserve"> those adverse effects occurring following oral or dermal administration of a single dose of a substance, or multiple doses given within 24 hours, or an inhalation exposure of 4 hours</w:t>
            </w:r>
            <w:r w:rsidR="00C64B85" w:rsidRPr="00C64B85">
              <w:rPr>
                <w:rFonts w:ascii="Arial" w:hAnsi="Arial" w:cs="Arial"/>
                <w:sz w:val="20"/>
                <w:szCs w:val="20"/>
              </w:rPr>
              <w:t>.</w:t>
            </w:r>
            <w:r w:rsidR="00B90EE2" w:rsidRPr="00281CAF">
              <w:rPr>
                <w:rFonts w:ascii="Arial" w:hAnsi="Arial" w:cs="Arial"/>
                <w:sz w:val="20"/>
                <w:szCs w:val="20"/>
              </w:rPr>
              <w:t xml:space="preserve"> </w:t>
            </w:r>
            <w:r w:rsidR="00D21E32" w:rsidRPr="00D21E32">
              <w:rPr>
                <w:rFonts w:ascii="Arial" w:hAnsi="Arial" w:cs="Arial"/>
                <w:sz w:val="20"/>
                <w:szCs w:val="20"/>
              </w:rPr>
              <w:t>The preferred test species for evaluation of acute toxicity by the oral and inhalation routes is the rat, while the rat or rabbit are preferred for evaluation of acute dermal toxicity.</w:t>
            </w:r>
          </w:p>
          <w:p w14:paraId="59CBC1C3" w14:textId="4996DC20" w:rsidR="000F31EA" w:rsidRDefault="000F31EA" w:rsidP="00E9653A">
            <w:pPr>
              <w:pStyle w:val="Default"/>
              <w:numPr>
                <w:ilvl w:val="0"/>
                <w:numId w:val="17"/>
              </w:numPr>
              <w:spacing w:after="60"/>
              <w:rPr>
                <w:rFonts w:ascii="Arial" w:hAnsi="Arial" w:cs="Arial"/>
                <w:sz w:val="20"/>
                <w:szCs w:val="20"/>
              </w:rPr>
            </w:pPr>
            <w:r w:rsidRPr="000F31EA">
              <w:rPr>
                <w:rFonts w:ascii="Arial" w:hAnsi="Arial" w:cs="Arial"/>
                <w:b/>
                <w:bCs/>
                <w:sz w:val="20"/>
                <w:szCs w:val="20"/>
              </w:rPr>
              <w:t>LD50 (Lethal Dose-50)</w:t>
            </w:r>
            <w:r>
              <w:rPr>
                <w:rFonts w:ascii="Arial" w:hAnsi="Arial" w:cs="Arial"/>
                <w:sz w:val="20"/>
                <w:szCs w:val="20"/>
              </w:rPr>
              <w:t xml:space="preserve"> – The amount of substance, when administered to a group of experimental animals, will kill 50% of the group in a specified time.</w:t>
            </w:r>
          </w:p>
          <w:p w14:paraId="301F00FE" w14:textId="7D529A40" w:rsidR="000F31EA" w:rsidRDefault="000F31EA" w:rsidP="000F31EA">
            <w:pPr>
              <w:pStyle w:val="Default"/>
              <w:numPr>
                <w:ilvl w:val="0"/>
                <w:numId w:val="17"/>
              </w:numPr>
              <w:spacing w:after="120"/>
              <w:rPr>
                <w:rFonts w:ascii="Arial" w:hAnsi="Arial" w:cs="Arial"/>
                <w:sz w:val="20"/>
                <w:szCs w:val="20"/>
              </w:rPr>
            </w:pPr>
            <w:r w:rsidRPr="000F31EA">
              <w:rPr>
                <w:rFonts w:ascii="Arial" w:hAnsi="Arial" w:cs="Arial"/>
                <w:b/>
                <w:bCs/>
                <w:sz w:val="20"/>
                <w:szCs w:val="20"/>
              </w:rPr>
              <w:t>LC50 (Lethal Concentration-50)</w:t>
            </w:r>
            <w:r>
              <w:rPr>
                <w:rFonts w:ascii="Arial" w:hAnsi="Arial" w:cs="Arial"/>
                <w:sz w:val="20"/>
                <w:szCs w:val="20"/>
              </w:rPr>
              <w:t xml:space="preserve"> – The concentration of a substance, when administered to a group of experimental animals, will kill 50% of the group in a specified time.</w:t>
            </w:r>
          </w:p>
          <w:p w14:paraId="17969D1B" w14:textId="04A90ED2" w:rsidR="00B80D1F" w:rsidRDefault="00D54E39" w:rsidP="004D55DD">
            <w:pPr>
              <w:pStyle w:val="Default"/>
              <w:spacing w:after="130"/>
              <w:rPr>
                <w:rFonts w:ascii="Arial" w:hAnsi="Arial" w:cs="Arial"/>
                <w:sz w:val="20"/>
                <w:szCs w:val="20"/>
              </w:rPr>
            </w:pPr>
            <w:r>
              <w:rPr>
                <w:rFonts w:ascii="Arial" w:hAnsi="Arial" w:cs="Arial"/>
                <w:sz w:val="20"/>
                <w:szCs w:val="20"/>
              </w:rPr>
              <w:t>Acutely toxic materials</w:t>
            </w:r>
            <w:r w:rsidR="00480C2A" w:rsidRPr="00480C2A">
              <w:rPr>
                <w:rFonts w:ascii="Arial" w:hAnsi="Arial" w:cs="Arial"/>
                <w:sz w:val="20"/>
                <w:szCs w:val="20"/>
              </w:rPr>
              <w:t xml:space="preserve"> </w:t>
            </w:r>
            <w:r w:rsidR="00A34152" w:rsidRPr="00480C2A">
              <w:rPr>
                <w:rFonts w:ascii="Arial" w:hAnsi="Arial" w:cs="Arial"/>
                <w:sz w:val="20"/>
                <w:szCs w:val="20"/>
              </w:rPr>
              <w:t xml:space="preserve">have the </w:t>
            </w:r>
            <w:r w:rsidR="00A34152">
              <w:rPr>
                <w:rFonts w:ascii="Arial" w:hAnsi="Arial" w:cs="Arial"/>
                <w:sz w:val="20"/>
                <w:szCs w:val="20"/>
              </w:rPr>
              <w:t xml:space="preserve">skull and crossbones </w:t>
            </w:r>
            <w:r w:rsidR="00A34152" w:rsidRPr="00480C2A">
              <w:rPr>
                <w:rFonts w:ascii="Arial" w:hAnsi="Arial" w:cs="Arial"/>
                <w:sz w:val="20"/>
                <w:szCs w:val="20"/>
              </w:rPr>
              <w:t>GHS pictogram on their label and safety data sheet</w:t>
            </w:r>
            <w:r w:rsidR="00A34152">
              <w:rPr>
                <w:rFonts w:ascii="Arial" w:hAnsi="Arial" w:cs="Arial"/>
                <w:sz w:val="20"/>
                <w:szCs w:val="20"/>
              </w:rPr>
              <w:t xml:space="preserve"> (SDS) and a hazard category of 1 or 2 on the SDS</w:t>
            </w:r>
            <w:r w:rsidR="00480C2A" w:rsidRPr="00480C2A">
              <w:rPr>
                <w:rFonts w:ascii="Arial" w:hAnsi="Arial" w:cs="Arial"/>
                <w:sz w:val="20"/>
                <w:szCs w:val="20"/>
              </w:rPr>
              <w:t>.</w:t>
            </w:r>
            <w:r w:rsidR="00480C2A">
              <w:rPr>
                <w:rFonts w:ascii="Arial" w:hAnsi="Arial" w:cs="Arial"/>
                <w:sz w:val="20"/>
                <w:szCs w:val="20"/>
              </w:rPr>
              <w:t xml:space="preserve"> </w:t>
            </w:r>
          </w:p>
          <w:tbl>
            <w:tblPr>
              <w:tblStyle w:val="TableGrid"/>
              <w:tblW w:w="0" w:type="auto"/>
              <w:tblLayout w:type="fixed"/>
              <w:tblLook w:val="04A0" w:firstRow="1" w:lastRow="0" w:firstColumn="1" w:lastColumn="0" w:noHBand="0" w:noVBand="1"/>
            </w:tblPr>
            <w:tblGrid>
              <w:gridCol w:w="3938"/>
              <w:gridCol w:w="1530"/>
              <w:gridCol w:w="1619"/>
            </w:tblGrid>
            <w:tr w:rsidR="00A34152" w14:paraId="05316B4C" w14:textId="77777777" w:rsidTr="00672ABC">
              <w:trPr>
                <w:trHeight w:hRule="exact" w:val="496"/>
              </w:trPr>
              <w:tc>
                <w:tcPr>
                  <w:tcW w:w="7087" w:type="dxa"/>
                  <w:gridSpan w:val="3"/>
                  <w:shd w:val="clear" w:color="auto" w:fill="BFBFBF" w:themeFill="background1" w:themeFillShade="BF"/>
                </w:tcPr>
                <w:p w14:paraId="02EACFC5" w14:textId="048D792B" w:rsidR="00A34152" w:rsidRPr="00672ABC" w:rsidRDefault="00672ABC" w:rsidP="00672ABC">
                  <w:pPr>
                    <w:pStyle w:val="Default"/>
                    <w:spacing w:after="130"/>
                    <w:jc w:val="center"/>
                    <w:rPr>
                      <w:rFonts w:ascii="Arial" w:hAnsi="Arial" w:cs="Arial"/>
                      <w:b/>
                      <w:bCs/>
                      <w:sz w:val="20"/>
                      <w:szCs w:val="20"/>
                    </w:rPr>
                  </w:pPr>
                  <w:r w:rsidRPr="00672ABC">
                    <w:rPr>
                      <w:rFonts w:ascii="Arial" w:hAnsi="Arial" w:cs="Arial"/>
                      <w:b/>
                      <w:bCs/>
                      <w:sz w:val="20"/>
                      <w:szCs w:val="20"/>
                    </w:rPr>
                    <w:t>Acute toxicity categories and acute toxicity estimate (ATE) values defining the respective categories</w:t>
                  </w:r>
                </w:p>
              </w:tc>
            </w:tr>
            <w:tr w:rsidR="00A34152" w14:paraId="3D64A24F" w14:textId="77777777" w:rsidTr="00B45A31">
              <w:trPr>
                <w:trHeight w:hRule="exact" w:val="288"/>
              </w:trPr>
              <w:tc>
                <w:tcPr>
                  <w:tcW w:w="3938" w:type="dxa"/>
                  <w:shd w:val="clear" w:color="auto" w:fill="BFBFBF" w:themeFill="background1" w:themeFillShade="BF"/>
                </w:tcPr>
                <w:p w14:paraId="53EDF4F6" w14:textId="301CB8D1" w:rsidR="00A34152" w:rsidRPr="00672ABC" w:rsidRDefault="00A34152" w:rsidP="00672ABC">
                  <w:pPr>
                    <w:pStyle w:val="Default"/>
                    <w:rPr>
                      <w:rFonts w:ascii="Arial" w:hAnsi="Arial" w:cs="Arial"/>
                      <w:b/>
                      <w:bCs/>
                      <w:sz w:val="20"/>
                      <w:szCs w:val="20"/>
                    </w:rPr>
                  </w:pPr>
                  <w:r w:rsidRPr="00672ABC">
                    <w:rPr>
                      <w:rFonts w:ascii="Arial" w:hAnsi="Arial" w:cs="Arial"/>
                      <w:b/>
                      <w:bCs/>
                      <w:sz w:val="20"/>
                      <w:szCs w:val="20"/>
                    </w:rPr>
                    <w:t>Exposure Route</w:t>
                  </w:r>
                </w:p>
              </w:tc>
              <w:tc>
                <w:tcPr>
                  <w:tcW w:w="1530" w:type="dxa"/>
                  <w:shd w:val="clear" w:color="auto" w:fill="BFBFBF" w:themeFill="background1" w:themeFillShade="BF"/>
                </w:tcPr>
                <w:p w14:paraId="6ADB7498" w14:textId="1594B5AE" w:rsidR="00A34152" w:rsidRPr="00672ABC" w:rsidRDefault="00A34152" w:rsidP="004D55DD">
                  <w:pPr>
                    <w:pStyle w:val="Default"/>
                    <w:spacing w:after="130"/>
                    <w:rPr>
                      <w:rFonts w:ascii="Arial" w:hAnsi="Arial" w:cs="Arial"/>
                      <w:b/>
                      <w:bCs/>
                      <w:sz w:val="20"/>
                      <w:szCs w:val="20"/>
                    </w:rPr>
                  </w:pPr>
                  <w:r w:rsidRPr="00672ABC">
                    <w:rPr>
                      <w:rFonts w:ascii="Arial" w:hAnsi="Arial" w:cs="Arial"/>
                      <w:b/>
                      <w:bCs/>
                      <w:sz w:val="20"/>
                      <w:szCs w:val="20"/>
                    </w:rPr>
                    <w:t>Category 1</w:t>
                  </w:r>
                </w:p>
              </w:tc>
              <w:tc>
                <w:tcPr>
                  <w:tcW w:w="1619" w:type="dxa"/>
                  <w:shd w:val="clear" w:color="auto" w:fill="BFBFBF" w:themeFill="background1" w:themeFillShade="BF"/>
                </w:tcPr>
                <w:p w14:paraId="0014EA14" w14:textId="6ACA059C" w:rsidR="00A34152" w:rsidRPr="00672ABC" w:rsidRDefault="00A34152" w:rsidP="004D55DD">
                  <w:pPr>
                    <w:pStyle w:val="Default"/>
                    <w:spacing w:after="130"/>
                    <w:rPr>
                      <w:rFonts w:ascii="Arial" w:hAnsi="Arial" w:cs="Arial"/>
                      <w:b/>
                      <w:bCs/>
                      <w:sz w:val="20"/>
                      <w:szCs w:val="20"/>
                    </w:rPr>
                  </w:pPr>
                  <w:r w:rsidRPr="00672ABC">
                    <w:rPr>
                      <w:rFonts w:ascii="Arial" w:hAnsi="Arial" w:cs="Arial"/>
                      <w:b/>
                      <w:bCs/>
                      <w:sz w:val="20"/>
                      <w:szCs w:val="20"/>
                    </w:rPr>
                    <w:t>Category 2</w:t>
                  </w:r>
                </w:p>
              </w:tc>
            </w:tr>
            <w:tr w:rsidR="00A34152" w14:paraId="1284A325" w14:textId="77777777" w:rsidTr="00B45A31">
              <w:trPr>
                <w:trHeight w:hRule="exact" w:val="288"/>
              </w:trPr>
              <w:tc>
                <w:tcPr>
                  <w:tcW w:w="3938" w:type="dxa"/>
                </w:tcPr>
                <w:p w14:paraId="58B38E82" w14:textId="63A755B2" w:rsidR="00A34152" w:rsidRDefault="00A34152" w:rsidP="004D55DD">
                  <w:pPr>
                    <w:pStyle w:val="Default"/>
                    <w:spacing w:after="130"/>
                    <w:rPr>
                      <w:rFonts w:ascii="Arial" w:hAnsi="Arial" w:cs="Arial"/>
                      <w:sz w:val="20"/>
                      <w:szCs w:val="20"/>
                    </w:rPr>
                  </w:pPr>
                  <w:r w:rsidRPr="00672ABC">
                    <w:rPr>
                      <w:rFonts w:ascii="Arial" w:hAnsi="Arial" w:cs="Arial"/>
                      <w:b/>
                      <w:bCs/>
                      <w:sz w:val="20"/>
                      <w:szCs w:val="20"/>
                    </w:rPr>
                    <w:t>Oral</w:t>
                  </w:r>
                  <w:r>
                    <w:rPr>
                      <w:rFonts w:ascii="Arial" w:hAnsi="Arial" w:cs="Arial"/>
                      <w:sz w:val="20"/>
                      <w:szCs w:val="20"/>
                    </w:rPr>
                    <w:t xml:space="preserve"> (mg/kg bodyweight)</w:t>
                  </w:r>
                  <w:r w:rsidR="00672ABC">
                    <w:rPr>
                      <w:rFonts w:ascii="Arial" w:hAnsi="Arial" w:cs="Arial"/>
                      <w:sz w:val="20"/>
                      <w:szCs w:val="20"/>
                    </w:rPr>
                    <w:t>:</w:t>
                  </w:r>
                </w:p>
              </w:tc>
              <w:tc>
                <w:tcPr>
                  <w:tcW w:w="1530" w:type="dxa"/>
                </w:tcPr>
                <w:p w14:paraId="7B6F0896" w14:textId="7541546A" w:rsidR="00A34152" w:rsidRDefault="00A34152" w:rsidP="004D55DD">
                  <w:pPr>
                    <w:pStyle w:val="Default"/>
                    <w:spacing w:after="130"/>
                    <w:rPr>
                      <w:rFonts w:ascii="Arial" w:hAnsi="Arial" w:cs="Arial"/>
                      <w:sz w:val="20"/>
                      <w:szCs w:val="20"/>
                    </w:rPr>
                  </w:pPr>
                  <w:r>
                    <w:rPr>
                      <w:rFonts w:ascii="Arial" w:hAnsi="Arial" w:cs="Arial"/>
                      <w:sz w:val="20"/>
                      <w:szCs w:val="20"/>
                    </w:rPr>
                    <w:t>≤5</w:t>
                  </w:r>
                </w:p>
              </w:tc>
              <w:tc>
                <w:tcPr>
                  <w:tcW w:w="1619" w:type="dxa"/>
                </w:tcPr>
                <w:p w14:paraId="6DA949E4" w14:textId="549F12A4" w:rsidR="00A34152" w:rsidRDefault="00A34152" w:rsidP="004D55DD">
                  <w:pPr>
                    <w:pStyle w:val="Default"/>
                    <w:spacing w:after="130"/>
                    <w:rPr>
                      <w:rFonts w:ascii="Arial" w:hAnsi="Arial" w:cs="Arial"/>
                      <w:sz w:val="20"/>
                      <w:szCs w:val="20"/>
                    </w:rPr>
                  </w:pPr>
                  <w:r>
                    <w:rPr>
                      <w:rFonts w:ascii="Arial" w:hAnsi="Arial" w:cs="Arial"/>
                      <w:sz w:val="20"/>
                      <w:szCs w:val="20"/>
                    </w:rPr>
                    <w:t>&gt;5 and ≤50</w:t>
                  </w:r>
                </w:p>
              </w:tc>
            </w:tr>
            <w:tr w:rsidR="00A34152" w14:paraId="75B6D9F6" w14:textId="77777777" w:rsidTr="00B45A31">
              <w:trPr>
                <w:trHeight w:hRule="exact" w:val="288"/>
              </w:trPr>
              <w:tc>
                <w:tcPr>
                  <w:tcW w:w="3938" w:type="dxa"/>
                </w:tcPr>
                <w:p w14:paraId="05738AE7" w14:textId="2F2F4174" w:rsidR="00A34152" w:rsidRDefault="00672ABC" w:rsidP="004D55DD">
                  <w:pPr>
                    <w:pStyle w:val="Default"/>
                    <w:spacing w:after="130"/>
                    <w:rPr>
                      <w:rFonts w:ascii="Arial" w:hAnsi="Arial" w:cs="Arial"/>
                      <w:sz w:val="20"/>
                      <w:szCs w:val="20"/>
                    </w:rPr>
                  </w:pPr>
                  <w:r w:rsidRPr="00672ABC">
                    <w:rPr>
                      <w:rFonts w:ascii="Arial" w:hAnsi="Arial" w:cs="Arial"/>
                      <w:b/>
                      <w:bCs/>
                      <w:sz w:val="20"/>
                      <w:szCs w:val="20"/>
                    </w:rPr>
                    <w:t>Dermal</w:t>
                  </w:r>
                  <w:r>
                    <w:rPr>
                      <w:rFonts w:ascii="Arial" w:hAnsi="Arial" w:cs="Arial"/>
                      <w:sz w:val="20"/>
                      <w:szCs w:val="20"/>
                    </w:rPr>
                    <w:t xml:space="preserve"> (mg/kg bodyweight):</w:t>
                  </w:r>
                </w:p>
              </w:tc>
              <w:tc>
                <w:tcPr>
                  <w:tcW w:w="1530" w:type="dxa"/>
                </w:tcPr>
                <w:p w14:paraId="3CA465D5" w14:textId="6E786645" w:rsidR="00A34152" w:rsidRDefault="00672ABC" w:rsidP="004D55DD">
                  <w:pPr>
                    <w:pStyle w:val="Default"/>
                    <w:spacing w:after="130"/>
                    <w:rPr>
                      <w:rFonts w:ascii="Arial" w:hAnsi="Arial" w:cs="Arial"/>
                      <w:sz w:val="20"/>
                      <w:szCs w:val="20"/>
                    </w:rPr>
                  </w:pPr>
                  <w:r>
                    <w:rPr>
                      <w:rFonts w:ascii="Arial" w:hAnsi="Arial" w:cs="Arial"/>
                      <w:sz w:val="20"/>
                      <w:szCs w:val="20"/>
                    </w:rPr>
                    <w:t>≤5</w:t>
                  </w:r>
                  <w:r w:rsidR="00EF6FC3">
                    <w:rPr>
                      <w:rFonts w:ascii="Arial" w:hAnsi="Arial" w:cs="Arial"/>
                      <w:sz w:val="20"/>
                      <w:szCs w:val="20"/>
                    </w:rPr>
                    <w:t>0</w:t>
                  </w:r>
                </w:p>
              </w:tc>
              <w:tc>
                <w:tcPr>
                  <w:tcW w:w="1619" w:type="dxa"/>
                </w:tcPr>
                <w:p w14:paraId="09E372C6" w14:textId="23082AAE" w:rsidR="00A34152" w:rsidRDefault="00672ABC" w:rsidP="004D55DD">
                  <w:pPr>
                    <w:pStyle w:val="Default"/>
                    <w:spacing w:after="130"/>
                    <w:rPr>
                      <w:rFonts w:ascii="Arial" w:hAnsi="Arial" w:cs="Arial"/>
                      <w:sz w:val="20"/>
                      <w:szCs w:val="20"/>
                    </w:rPr>
                  </w:pPr>
                  <w:r>
                    <w:rPr>
                      <w:rFonts w:ascii="Arial" w:hAnsi="Arial" w:cs="Arial"/>
                      <w:sz w:val="20"/>
                      <w:szCs w:val="20"/>
                    </w:rPr>
                    <w:t>&gt;50 and ≤200</w:t>
                  </w:r>
                </w:p>
              </w:tc>
            </w:tr>
            <w:tr w:rsidR="00A34152" w14:paraId="0DB8020D" w14:textId="77777777" w:rsidTr="00B45A31">
              <w:trPr>
                <w:trHeight w:hRule="exact" w:val="288"/>
              </w:trPr>
              <w:tc>
                <w:tcPr>
                  <w:tcW w:w="3938" w:type="dxa"/>
                </w:tcPr>
                <w:p w14:paraId="02D4AFE0" w14:textId="46867C17" w:rsidR="00A34152" w:rsidRDefault="00D54819" w:rsidP="004D55DD">
                  <w:pPr>
                    <w:pStyle w:val="Default"/>
                    <w:spacing w:after="130"/>
                    <w:rPr>
                      <w:rFonts w:ascii="Arial" w:hAnsi="Arial" w:cs="Arial"/>
                      <w:sz w:val="20"/>
                      <w:szCs w:val="20"/>
                    </w:rPr>
                  </w:pPr>
                  <w:r w:rsidRPr="00D54819">
                    <w:rPr>
                      <w:rFonts w:ascii="Arial" w:hAnsi="Arial" w:cs="Arial"/>
                      <w:b/>
                      <w:bCs/>
                      <w:sz w:val="20"/>
                      <w:szCs w:val="20"/>
                    </w:rPr>
                    <w:t>Inhalation</w:t>
                  </w:r>
                  <w:r>
                    <w:rPr>
                      <w:rFonts w:ascii="Arial" w:hAnsi="Arial" w:cs="Arial"/>
                      <w:b/>
                      <w:bCs/>
                      <w:sz w:val="20"/>
                      <w:szCs w:val="20"/>
                    </w:rPr>
                    <w:t xml:space="preserve"> – Ga</w:t>
                  </w:r>
                  <w:r w:rsidRPr="00D54819">
                    <w:rPr>
                      <w:rFonts w:ascii="Arial" w:hAnsi="Arial" w:cs="Arial"/>
                      <w:b/>
                      <w:bCs/>
                      <w:sz w:val="20"/>
                      <w:szCs w:val="20"/>
                    </w:rPr>
                    <w:t>ses</w:t>
                  </w:r>
                  <w:r>
                    <w:rPr>
                      <w:rFonts w:ascii="Arial" w:hAnsi="Arial" w:cs="Arial"/>
                      <w:sz w:val="20"/>
                      <w:szCs w:val="20"/>
                    </w:rPr>
                    <w:t xml:space="preserve"> (</w:t>
                  </w:r>
                  <w:proofErr w:type="spellStart"/>
                  <w:r>
                    <w:rPr>
                      <w:rFonts w:ascii="Arial" w:hAnsi="Arial" w:cs="Arial"/>
                      <w:sz w:val="20"/>
                      <w:szCs w:val="20"/>
                    </w:rPr>
                    <w:t>ppmV</w:t>
                  </w:r>
                  <w:proofErr w:type="spellEnd"/>
                  <w:r>
                    <w:rPr>
                      <w:rFonts w:ascii="Arial" w:hAnsi="Arial" w:cs="Arial"/>
                      <w:sz w:val="20"/>
                      <w:szCs w:val="20"/>
                    </w:rPr>
                    <w:t>):</w:t>
                  </w:r>
                </w:p>
              </w:tc>
              <w:tc>
                <w:tcPr>
                  <w:tcW w:w="1530" w:type="dxa"/>
                </w:tcPr>
                <w:p w14:paraId="346BE171" w14:textId="2FA2EF70" w:rsidR="00A34152" w:rsidRDefault="00D54819" w:rsidP="004D55DD">
                  <w:pPr>
                    <w:pStyle w:val="Default"/>
                    <w:spacing w:after="130"/>
                    <w:rPr>
                      <w:rFonts w:ascii="Arial" w:hAnsi="Arial" w:cs="Arial"/>
                      <w:sz w:val="20"/>
                      <w:szCs w:val="20"/>
                    </w:rPr>
                  </w:pPr>
                  <w:r>
                    <w:rPr>
                      <w:rFonts w:ascii="Arial" w:hAnsi="Arial" w:cs="Arial"/>
                      <w:sz w:val="20"/>
                      <w:szCs w:val="20"/>
                    </w:rPr>
                    <w:t>≤100</w:t>
                  </w:r>
                </w:p>
              </w:tc>
              <w:tc>
                <w:tcPr>
                  <w:tcW w:w="1619" w:type="dxa"/>
                </w:tcPr>
                <w:p w14:paraId="29B48751" w14:textId="0C208955" w:rsidR="00A34152" w:rsidRDefault="00D54819" w:rsidP="004D55DD">
                  <w:pPr>
                    <w:pStyle w:val="Default"/>
                    <w:spacing w:after="130"/>
                    <w:rPr>
                      <w:rFonts w:ascii="Arial" w:hAnsi="Arial" w:cs="Arial"/>
                      <w:sz w:val="20"/>
                      <w:szCs w:val="20"/>
                    </w:rPr>
                  </w:pPr>
                  <w:r>
                    <w:rPr>
                      <w:rFonts w:ascii="Arial" w:hAnsi="Arial" w:cs="Arial"/>
                      <w:sz w:val="20"/>
                      <w:szCs w:val="20"/>
                    </w:rPr>
                    <w:t>&gt;100 and ≤500</w:t>
                  </w:r>
                </w:p>
              </w:tc>
            </w:tr>
            <w:tr w:rsidR="00A34152" w14:paraId="43409696" w14:textId="77777777" w:rsidTr="00B45A31">
              <w:trPr>
                <w:trHeight w:hRule="exact" w:val="288"/>
              </w:trPr>
              <w:tc>
                <w:tcPr>
                  <w:tcW w:w="3938" w:type="dxa"/>
                </w:tcPr>
                <w:p w14:paraId="6733551B" w14:textId="7D7D243B" w:rsidR="00A34152" w:rsidRDefault="00D54819" w:rsidP="004D55DD">
                  <w:pPr>
                    <w:pStyle w:val="Default"/>
                    <w:spacing w:after="130"/>
                    <w:rPr>
                      <w:rFonts w:ascii="Arial" w:hAnsi="Arial" w:cs="Arial"/>
                      <w:sz w:val="20"/>
                      <w:szCs w:val="20"/>
                    </w:rPr>
                  </w:pPr>
                  <w:r w:rsidRPr="00D54819">
                    <w:rPr>
                      <w:rFonts w:ascii="Arial" w:hAnsi="Arial" w:cs="Arial"/>
                      <w:b/>
                      <w:bCs/>
                      <w:sz w:val="20"/>
                      <w:szCs w:val="20"/>
                    </w:rPr>
                    <w:t>Inhalation – Vapors</w:t>
                  </w:r>
                  <w:r>
                    <w:rPr>
                      <w:rFonts w:ascii="Arial" w:hAnsi="Arial" w:cs="Arial"/>
                      <w:sz w:val="20"/>
                      <w:szCs w:val="20"/>
                    </w:rPr>
                    <w:t xml:space="preserve"> (mg/l):</w:t>
                  </w:r>
                </w:p>
              </w:tc>
              <w:tc>
                <w:tcPr>
                  <w:tcW w:w="1530" w:type="dxa"/>
                </w:tcPr>
                <w:p w14:paraId="3754E957" w14:textId="673C6AF8" w:rsidR="00A34152" w:rsidRDefault="00D54819" w:rsidP="004D55DD">
                  <w:pPr>
                    <w:pStyle w:val="Default"/>
                    <w:spacing w:after="130"/>
                    <w:rPr>
                      <w:rFonts w:ascii="Arial" w:hAnsi="Arial" w:cs="Arial"/>
                      <w:sz w:val="20"/>
                      <w:szCs w:val="20"/>
                    </w:rPr>
                  </w:pPr>
                  <w:r>
                    <w:rPr>
                      <w:rFonts w:ascii="Arial" w:hAnsi="Arial" w:cs="Arial"/>
                      <w:sz w:val="20"/>
                      <w:szCs w:val="20"/>
                    </w:rPr>
                    <w:t>≤0.5</w:t>
                  </w:r>
                </w:p>
              </w:tc>
              <w:tc>
                <w:tcPr>
                  <w:tcW w:w="1619" w:type="dxa"/>
                </w:tcPr>
                <w:p w14:paraId="4F888419" w14:textId="4AE53B9A" w:rsidR="00A34152" w:rsidRDefault="00D54819" w:rsidP="004D55DD">
                  <w:pPr>
                    <w:pStyle w:val="Default"/>
                    <w:spacing w:after="130"/>
                    <w:rPr>
                      <w:rFonts w:ascii="Arial" w:hAnsi="Arial" w:cs="Arial"/>
                      <w:sz w:val="20"/>
                      <w:szCs w:val="20"/>
                    </w:rPr>
                  </w:pPr>
                  <w:r>
                    <w:rPr>
                      <w:rFonts w:ascii="Arial" w:hAnsi="Arial" w:cs="Arial"/>
                      <w:sz w:val="20"/>
                      <w:szCs w:val="20"/>
                    </w:rPr>
                    <w:t>&gt;0.5 and ≤2.0</w:t>
                  </w:r>
                </w:p>
              </w:tc>
            </w:tr>
            <w:tr w:rsidR="00A34152" w14:paraId="0B46D5F9" w14:textId="77777777" w:rsidTr="00B45A31">
              <w:trPr>
                <w:trHeight w:hRule="exact" w:val="262"/>
              </w:trPr>
              <w:tc>
                <w:tcPr>
                  <w:tcW w:w="3938" w:type="dxa"/>
                </w:tcPr>
                <w:p w14:paraId="1FDDDABA" w14:textId="53DE3B4A" w:rsidR="00A34152" w:rsidRDefault="00D54819" w:rsidP="004D55DD">
                  <w:pPr>
                    <w:pStyle w:val="Default"/>
                    <w:spacing w:after="130"/>
                    <w:rPr>
                      <w:rFonts w:ascii="Arial" w:hAnsi="Arial" w:cs="Arial"/>
                      <w:sz w:val="20"/>
                      <w:szCs w:val="20"/>
                    </w:rPr>
                  </w:pPr>
                  <w:r w:rsidRPr="00D54819">
                    <w:rPr>
                      <w:rFonts w:ascii="Arial" w:hAnsi="Arial" w:cs="Arial"/>
                      <w:b/>
                      <w:bCs/>
                      <w:sz w:val="20"/>
                      <w:szCs w:val="20"/>
                    </w:rPr>
                    <w:t>Inhalation – Dusts and Mists</w:t>
                  </w:r>
                  <w:r>
                    <w:rPr>
                      <w:rFonts w:ascii="Arial" w:hAnsi="Arial" w:cs="Arial"/>
                      <w:sz w:val="20"/>
                      <w:szCs w:val="20"/>
                    </w:rPr>
                    <w:t xml:space="preserve"> (mg/l):</w:t>
                  </w:r>
                </w:p>
              </w:tc>
              <w:tc>
                <w:tcPr>
                  <w:tcW w:w="1530" w:type="dxa"/>
                </w:tcPr>
                <w:p w14:paraId="1D1CCA12" w14:textId="0A33D216" w:rsidR="00A34152" w:rsidRDefault="00D54819" w:rsidP="004D55DD">
                  <w:pPr>
                    <w:pStyle w:val="Default"/>
                    <w:spacing w:after="130"/>
                    <w:rPr>
                      <w:rFonts w:ascii="Arial" w:hAnsi="Arial" w:cs="Arial"/>
                      <w:sz w:val="20"/>
                      <w:szCs w:val="20"/>
                    </w:rPr>
                  </w:pPr>
                  <w:r>
                    <w:rPr>
                      <w:rFonts w:ascii="Arial" w:hAnsi="Arial" w:cs="Arial"/>
                      <w:sz w:val="20"/>
                      <w:szCs w:val="20"/>
                    </w:rPr>
                    <w:t>≤0.05</w:t>
                  </w:r>
                </w:p>
              </w:tc>
              <w:tc>
                <w:tcPr>
                  <w:tcW w:w="1619" w:type="dxa"/>
                </w:tcPr>
                <w:p w14:paraId="7480C65D" w14:textId="25E444D9" w:rsidR="00A34152" w:rsidRDefault="00D54819" w:rsidP="004D55DD">
                  <w:pPr>
                    <w:pStyle w:val="Default"/>
                    <w:spacing w:after="130"/>
                    <w:rPr>
                      <w:rFonts w:ascii="Arial" w:hAnsi="Arial" w:cs="Arial"/>
                      <w:sz w:val="20"/>
                      <w:szCs w:val="20"/>
                    </w:rPr>
                  </w:pPr>
                  <w:r>
                    <w:rPr>
                      <w:rFonts w:ascii="Arial" w:hAnsi="Arial" w:cs="Arial"/>
                      <w:sz w:val="20"/>
                      <w:szCs w:val="20"/>
                    </w:rPr>
                    <w:t>&gt;0.05 and ≤0.5</w:t>
                  </w:r>
                </w:p>
              </w:tc>
            </w:tr>
          </w:tbl>
          <w:p w14:paraId="0D1F7881" w14:textId="2F6B3EA6" w:rsidR="00A34152" w:rsidRPr="00515B77" w:rsidRDefault="00515B77" w:rsidP="004F0A0C">
            <w:pPr>
              <w:pStyle w:val="Default"/>
              <w:spacing w:before="120" w:after="60"/>
              <w:rPr>
                <w:rFonts w:ascii="Arial" w:hAnsi="Arial" w:cs="Arial"/>
                <w:i/>
                <w:iCs/>
                <w:sz w:val="20"/>
                <w:szCs w:val="20"/>
              </w:rPr>
            </w:pPr>
            <w:r w:rsidRPr="00515B77">
              <w:rPr>
                <w:rFonts w:ascii="Arial" w:hAnsi="Arial" w:cs="Arial"/>
                <w:i/>
                <w:iCs/>
                <w:sz w:val="20"/>
                <w:szCs w:val="20"/>
              </w:rPr>
              <w:t>Note: Gas concentrations are expressed in parts per million per volume (</w:t>
            </w:r>
            <w:proofErr w:type="spellStart"/>
            <w:r w:rsidRPr="00515B77">
              <w:rPr>
                <w:rFonts w:ascii="Arial" w:hAnsi="Arial" w:cs="Arial"/>
                <w:i/>
                <w:iCs/>
                <w:sz w:val="20"/>
                <w:szCs w:val="20"/>
              </w:rPr>
              <w:t>ppmV</w:t>
            </w:r>
            <w:proofErr w:type="spellEnd"/>
            <w:r w:rsidRPr="00515B77">
              <w:rPr>
                <w:rFonts w:ascii="Arial" w:hAnsi="Arial" w:cs="Arial"/>
                <w:i/>
                <w:iCs/>
                <w:sz w:val="20"/>
                <w:szCs w:val="20"/>
              </w:rPr>
              <w:t>).</w:t>
            </w:r>
          </w:p>
          <w:p w14:paraId="5A0E711A" w14:textId="7715EB3A" w:rsidR="00AE00CA" w:rsidRPr="00AE00CA" w:rsidRDefault="00AE00CA" w:rsidP="004F0A0C">
            <w:pPr>
              <w:pStyle w:val="Default"/>
              <w:spacing w:after="60"/>
              <w:rPr>
                <w:rFonts w:ascii="Arial" w:hAnsi="Arial" w:cs="Arial"/>
                <w:i/>
                <w:iCs/>
                <w:sz w:val="20"/>
                <w:szCs w:val="20"/>
              </w:rPr>
            </w:pPr>
            <w:r w:rsidRPr="00AE00CA">
              <w:rPr>
                <w:rFonts w:ascii="Arial" w:hAnsi="Arial" w:cs="Arial"/>
                <w:i/>
                <w:iCs/>
                <w:sz w:val="20"/>
                <w:szCs w:val="20"/>
              </w:rPr>
              <w:t xml:space="preserve">Note: Inhalation cut-off values are based on </w:t>
            </w:r>
            <w:proofErr w:type="gramStart"/>
            <w:r w:rsidRPr="00AE00CA">
              <w:rPr>
                <w:rFonts w:ascii="Arial" w:hAnsi="Arial" w:cs="Arial"/>
                <w:i/>
                <w:iCs/>
                <w:sz w:val="20"/>
                <w:szCs w:val="20"/>
              </w:rPr>
              <w:t>4 hour</w:t>
            </w:r>
            <w:proofErr w:type="gramEnd"/>
            <w:r w:rsidRPr="00AE00CA">
              <w:rPr>
                <w:rFonts w:ascii="Arial" w:hAnsi="Arial" w:cs="Arial"/>
                <w:i/>
                <w:iCs/>
                <w:sz w:val="20"/>
                <w:szCs w:val="20"/>
              </w:rPr>
              <w:t xml:space="preserve"> testing exposures. Conversion of existing inhalation toxicity data which has been generated </w:t>
            </w:r>
            <w:r w:rsidRPr="00AE00CA">
              <w:rPr>
                <w:rFonts w:ascii="Arial" w:hAnsi="Arial" w:cs="Arial"/>
                <w:i/>
                <w:iCs/>
                <w:sz w:val="20"/>
                <w:szCs w:val="20"/>
              </w:rPr>
              <w:lastRenderedPageBreak/>
              <w:t>according to 1 hour exposure is achieved by dividing by a factor of 2 for gases and vapors and 4 for dusts and mists.</w:t>
            </w:r>
          </w:p>
          <w:p w14:paraId="63411704" w14:textId="0A82E16B" w:rsidR="00515B77" w:rsidRPr="00515B77" w:rsidRDefault="00515B77" w:rsidP="00E97362">
            <w:pPr>
              <w:pStyle w:val="Default"/>
              <w:spacing w:after="20"/>
              <w:rPr>
                <w:rFonts w:ascii="Arial" w:hAnsi="Arial" w:cs="Arial"/>
                <w:i/>
                <w:iCs/>
                <w:sz w:val="20"/>
                <w:szCs w:val="20"/>
              </w:rPr>
            </w:pPr>
            <w:r w:rsidRPr="00515B77">
              <w:rPr>
                <w:rFonts w:ascii="Arial" w:hAnsi="Arial" w:cs="Arial"/>
                <w:i/>
                <w:iCs/>
                <w:sz w:val="20"/>
                <w:szCs w:val="20"/>
              </w:rPr>
              <w:t>Note: The terms “dust”, “mist” and “vapor” are defined as follows:</w:t>
            </w:r>
          </w:p>
          <w:p w14:paraId="1A9F581D" w14:textId="77777777" w:rsidR="00515B77" w:rsidRPr="00515B77" w:rsidRDefault="00515B77" w:rsidP="00E97362">
            <w:pPr>
              <w:pStyle w:val="Default"/>
              <w:numPr>
                <w:ilvl w:val="0"/>
                <w:numId w:val="15"/>
              </w:numPr>
              <w:spacing w:after="40"/>
              <w:rPr>
                <w:rFonts w:ascii="Arial" w:hAnsi="Arial" w:cs="Arial"/>
                <w:i/>
                <w:iCs/>
                <w:sz w:val="20"/>
                <w:szCs w:val="20"/>
              </w:rPr>
            </w:pPr>
            <w:r w:rsidRPr="00515B77">
              <w:rPr>
                <w:rFonts w:ascii="Arial" w:hAnsi="Arial" w:cs="Arial"/>
                <w:i/>
                <w:iCs/>
                <w:sz w:val="20"/>
                <w:szCs w:val="20"/>
              </w:rPr>
              <w:t>Dust: solid particles of a substance or mixture suspended in a gas (usually air</w:t>
            </w:r>
            <w:proofErr w:type="gramStart"/>
            <w:r w:rsidRPr="00515B77">
              <w:rPr>
                <w:rFonts w:ascii="Arial" w:hAnsi="Arial" w:cs="Arial"/>
                <w:i/>
                <w:iCs/>
                <w:sz w:val="20"/>
                <w:szCs w:val="20"/>
              </w:rPr>
              <w:t>);</w:t>
            </w:r>
            <w:proofErr w:type="gramEnd"/>
          </w:p>
          <w:p w14:paraId="06918618" w14:textId="77777777" w:rsidR="00515B77" w:rsidRPr="00515B77" w:rsidRDefault="00515B77" w:rsidP="00E97362">
            <w:pPr>
              <w:pStyle w:val="Default"/>
              <w:numPr>
                <w:ilvl w:val="0"/>
                <w:numId w:val="15"/>
              </w:numPr>
              <w:spacing w:after="40"/>
              <w:rPr>
                <w:rFonts w:ascii="Arial" w:hAnsi="Arial" w:cs="Arial"/>
                <w:i/>
                <w:iCs/>
                <w:sz w:val="20"/>
                <w:szCs w:val="20"/>
              </w:rPr>
            </w:pPr>
            <w:r w:rsidRPr="00515B77">
              <w:rPr>
                <w:rFonts w:ascii="Arial" w:hAnsi="Arial" w:cs="Arial"/>
                <w:i/>
                <w:iCs/>
                <w:sz w:val="20"/>
                <w:szCs w:val="20"/>
              </w:rPr>
              <w:t>Mist: liquid droplets of a substance or mixture suspended in a gas (usually air</w:t>
            </w:r>
            <w:proofErr w:type="gramStart"/>
            <w:r w:rsidRPr="00515B77">
              <w:rPr>
                <w:rFonts w:ascii="Arial" w:hAnsi="Arial" w:cs="Arial"/>
                <w:i/>
                <w:iCs/>
                <w:sz w:val="20"/>
                <w:szCs w:val="20"/>
              </w:rPr>
              <w:t>);</w:t>
            </w:r>
            <w:proofErr w:type="gramEnd"/>
          </w:p>
          <w:p w14:paraId="47A0E865" w14:textId="0292D189" w:rsidR="009A75D7" w:rsidRPr="00E97362" w:rsidRDefault="00515B77" w:rsidP="004D55DD">
            <w:pPr>
              <w:pStyle w:val="Default"/>
              <w:numPr>
                <w:ilvl w:val="0"/>
                <w:numId w:val="15"/>
              </w:numPr>
              <w:spacing w:after="130"/>
              <w:rPr>
                <w:rFonts w:ascii="Arial" w:hAnsi="Arial" w:cs="Arial"/>
                <w:i/>
                <w:iCs/>
                <w:sz w:val="20"/>
                <w:szCs w:val="20"/>
              </w:rPr>
            </w:pPr>
            <w:r w:rsidRPr="00515B77">
              <w:rPr>
                <w:rFonts w:ascii="Arial" w:hAnsi="Arial" w:cs="Arial"/>
                <w:i/>
                <w:iCs/>
                <w:sz w:val="20"/>
                <w:szCs w:val="20"/>
              </w:rPr>
              <w:t>Vapor: the gaseous form of a substance or mixture released from its liquid or solid state.</w:t>
            </w:r>
            <w:r w:rsidR="00480C2A" w:rsidRPr="00E94B70">
              <w:rPr>
                <w:rFonts w:ascii="Arial" w:hAnsi="Arial" w:cs="Arial"/>
                <w:sz w:val="20"/>
                <w:szCs w:val="20"/>
              </w:rPr>
              <w:t xml:space="preserve"> </w:t>
            </w:r>
          </w:p>
          <w:p w14:paraId="6460A3F0" w14:textId="207438CF" w:rsidR="005B27A1" w:rsidRDefault="001F1BBB" w:rsidP="009F03E0">
            <w:pPr>
              <w:pStyle w:val="Default"/>
              <w:spacing w:after="130"/>
              <w:rPr>
                <w:rFonts w:ascii="Arial" w:hAnsi="Arial" w:cs="Arial"/>
                <w:sz w:val="20"/>
                <w:szCs w:val="20"/>
              </w:rPr>
            </w:pPr>
            <w:r>
              <w:rPr>
                <w:rFonts w:ascii="Arial" w:hAnsi="Arial" w:cs="Arial"/>
                <w:b/>
                <w:bCs/>
                <w:sz w:val="20"/>
                <w:szCs w:val="20"/>
              </w:rPr>
              <w:t>Acutely</w:t>
            </w:r>
            <w:r w:rsidR="00E97362" w:rsidRPr="00E97362">
              <w:rPr>
                <w:rFonts w:ascii="Arial" w:hAnsi="Arial" w:cs="Arial"/>
                <w:b/>
                <w:bCs/>
                <w:sz w:val="20"/>
                <w:szCs w:val="20"/>
              </w:rPr>
              <w:t xml:space="preserve"> toxic Category 1</w:t>
            </w:r>
            <w:r w:rsidR="00E97362">
              <w:rPr>
                <w:rFonts w:ascii="Arial" w:hAnsi="Arial" w:cs="Arial"/>
                <w:sz w:val="20"/>
                <w:szCs w:val="20"/>
              </w:rPr>
              <w:t xml:space="preserve"> materials shall have their own SOP, or list</w:t>
            </w:r>
            <w:r w:rsidR="00846040">
              <w:rPr>
                <w:rFonts w:ascii="Arial" w:hAnsi="Arial" w:cs="Arial"/>
                <w:sz w:val="20"/>
                <w:szCs w:val="20"/>
              </w:rPr>
              <w:t>/identify</w:t>
            </w:r>
            <w:r w:rsidR="00E97362">
              <w:rPr>
                <w:rFonts w:ascii="Arial" w:hAnsi="Arial" w:cs="Arial"/>
                <w:sz w:val="20"/>
                <w:szCs w:val="20"/>
              </w:rPr>
              <w:t xml:space="preserve"> all </w:t>
            </w:r>
            <w:r w:rsidR="00846040">
              <w:rPr>
                <w:rFonts w:ascii="Arial" w:hAnsi="Arial" w:cs="Arial"/>
                <w:sz w:val="20"/>
                <w:szCs w:val="20"/>
              </w:rPr>
              <w:t xml:space="preserve">acute toxins used in the laboratory </w:t>
            </w:r>
            <w:r w:rsidR="00E97362">
              <w:rPr>
                <w:rFonts w:ascii="Arial" w:hAnsi="Arial" w:cs="Arial"/>
                <w:sz w:val="20"/>
                <w:szCs w:val="20"/>
              </w:rPr>
              <w:t xml:space="preserve">under </w:t>
            </w:r>
            <w:r w:rsidR="00846040">
              <w:rPr>
                <w:rFonts w:ascii="Arial" w:hAnsi="Arial" w:cs="Arial"/>
                <w:sz w:val="20"/>
                <w:szCs w:val="20"/>
              </w:rPr>
              <w:t xml:space="preserve">this </w:t>
            </w:r>
            <w:r w:rsidR="00E97362">
              <w:rPr>
                <w:rFonts w:ascii="Arial" w:hAnsi="Arial" w:cs="Arial"/>
                <w:sz w:val="20"/>
                <w:szCs w:val="20"/>
              </w:rPr>
              <w:t>SOP and attach SDSs</w:t>
            </w:r>
            <w:r w:rsidR="005B27A1" w:rsidRPr="00095E80">
              <w:rPr>
                <w:rFonts w:ascii="Arial" w:hAnsi="Arial" w:cs="Arial"/>
                <w:sz w:val="20"/>
                <w:szCs w:val="20"/>
              </w:rPr>
              <w:t>.</w:t>
            </w:r>
          </w:p>
          <w:p w14:paraId="261E2F9B" w14:textId="205D3D81" w:rsidR="00EA677B" w:rsidRPr="00264A0F" w:rsidRDefault="00EA677B" w:rsidP="009F03E0">
            <w:pPr>
              <w:pStyle w:val="Default"/>
              <w:spacing w:after="130"/>
              <w:rPr>
                <w:rFonts w:ascii="Arial" w:hAnsi="Arial" w:cs="Arial"/>
                <w:sz w:val="20"/>
                <w:szCs w:val="20"/>
              </w:rPr>
            </w:pPr>
            <w:r>
              <w:rPr>
                <w:rFonts w:ascii="Arial" w:hAnsi="Arial" w:cs="Arial"/>
                <w:b/>
                <w:bCs/>
                <w:sz w:val="20"/>
                <w:szCs w:val="20"/>
              </w:rPr>
              <w:t>S</w:t>
            </w:r>
            <w:r w:rsidRPr="00EA677B">
              <w:rPr>
                <w:rFonts w:ascii="Arial" w:hAnsi="Arial" w:cs="Arial"/>
                <w:b/>
                <w:bCs/>
                <w:sz w:val="20"/>
                <w:szCs w:val="20"/>
              </w:rPr>
              <w:t>elect agent toxins</w:t>
            </w:r>
            <w:r>
              <w:rPr>
                <w:rFonts w:ascii="Arial" w:hAnsi="Arial" w:cs="Arial"/>
                <w:sz w:val="20"/>
                <w:szCs w:val="20"/>
              </w:rPr>
              <w:t xml:space="preserve"> are acutely toxic materials. Possession, use, or transfer of these toxins entails additional requirements. Contact WSU Biosafety in the </w:t>
            </w:r>
            <w:hyperlink r:id="rId7" w:history="1">
              <w:r w:rsidRPr="00EA677B">
                <w:rPr>
                  <w:rStyle w:val="Hyperlink"/>
                  <w:rFonts w:ascii="Arial" w:hAnsi="Arial" w:cs="Arial"/>
                  <w:sz w:val="20"/>
                  <w:szCs w:val="20"/>
                </w:rPr>
                <w:t>Office of Research Assurances (ORA)</w:t>
              </w:r>
            </w:hyperlink>
            <w:r>
              <w:rPr>
                <w:rFonts w:ascii="Arial" w:hAnsi="Arial" w:cs="Arial"/>
                <w:sz w:val="20"/>
                <w:szCs w:val="20"/>
              </w:rPr>
              <w:t>.</w:t>
            </w:r>
          </w:p>
        </w:tc>
      </w:tr>
      <w:tr w:rsidR="003E3CD1" w14:paraId="12C4916B" w14:textId="77777777" w:rsidTr="00405284">
        <w:tc>
          <w:tcPr>
            <w:tcW w:w="2497" w:type="dxa"/>
          </w:tcPr>
          <w:p w14:paraId="70E80999" w14:textId="77777777" w:rsidR="00E40EE8" w:rsidRDefault="003E3CD1">
            <w:pPr>
              <w:rPr>
                <w:b/>
                <w:bCs/>
              </w:rPr>
            </w:pPr>
            <w:r w:rsidRPr="00803CEB">
              <w:rPr>
                <w:b/>
                <w:bCs/>
              </w:rPr>
              <w:lastRenderedPageBreak/>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21E925C2" w14:textId="6A7EFF65" w:rsidR="005C5E7C" w:rsidRDefault="00915706" w:rsidP="000B2958">
            <w:pPr>
              <w:rPr>
                <w:rStyle w:val="markedcontent"/>
                <w:rFonts w:cs="Arial"/>
              </w:rPr>
            </w:pPr>
            <w:r w:rsidRPr="0036771D">
              <w:rPr>
                <w:rStyle w:val="markedcontent"/>
                <w:rFonts w:cs="Arial"/>
                <w:b/>
                <w:bCs/>
              </w:rPr>
              <w:t xml:space="preserve">Acutely toxic </w:t>
            </w:r>
            <w:r w:rsidR="00B44953" w:rsidRPr="0036771D">
              <w:rPr>
                <w:rStyle w:val="markedcontent"/>
                <w:rFonts w:cs="Arial"/>
                <w:b/>
                <w:bCs/>
              </w:rPr>
              <w:t>materials</w:t>
            </w:r>
            <w:r w:rsidR="00D749BA">
              <w:rPr>
                <w:rStyle w:val="markedcontent"/>
                <w:rFonts w:cs="Arial"/>
              </w:rPr>
              <w:t xml:space="preserve"> </w:t>
            </w:r>
            <w:r w:rsidR="00BD7E94">
              <w:rPr>
                <w:rStyle w:val="markedcontent"/>
                <w:rFonts w:cs="Arial"/>
              </w:rPr>
              <w:t>can cause severe illness</w:t>
            </w:r>
            <w:r w:rsidR="00D749BA" w:rsidRPr="00D749BA">
              <w:rPr>
                <w:rStyle w:val="markedcontent"/>
                <w:rFonts w:cs="Arial"/>
              </w:rPr>
              <w:t xml:space="preserve"> </w:t>
            </w:r>
            <w:r w:rsidR="00BD7E94">
              <w:rPr>
                <w:rStyle w:val="markedcontent"/>
                <w:rFonts w:cs="Arial"/>
              </w:rPr>
              <w:t xml:space="preserve">or death </w:t>
            </w:r>
            <w:r w:rsidR="00D749BA" w:rsidRPr="00D749BA">
              <w:rPr>
                <w:rStyle w:val="markedcontent"/>
                <w:rFonts w:cs="Arial"/>
              </w:rPr>
              <w:t>by inhalation, ingestion, or skin absorption</w:t>
            </w:r>
            <w:r w:rsidR="00BD7E94">
              <w:rPr>
                <w:rStyle w:val="markedcontent"/>
                <w:rFonts w:cs="Arial"/>
              </w:rPr>
              <w:t xml:space="preserve"> after a single or short-term exposure</w:t>
            </w:r>
            <w:r w:rsidR="00D749BA" w:rsidRPr="00D749BA">
              <w:rPr>
                <w:rStyle w:val="markedcontent"/>
                <w:rFonts w:cs="Arial"/>
              </w:rPr>
              <w:t xml:space="preserve">. Many acutely toxic </w:t>
            </w:r>
            <w:r w:rsidR="00B44953">
              <w:rPr>
                <w:rStyle w:val="markedcontent"/>
                <w:rFonts w:cs="Arial"/>
              </w:rPr>
              <w:t>materials</w:t>
            </w:r>
            <w:r w:rsidR="00D749BA" w:rsidRPr="00D749BA">
              <w:rPr>
                <w:rStyle w:val="markedcontent"/>
                <w:rFonts w:cs="Arial"/>
              </w:rPr>
              <w:t xml:space="preserve"> are also carcinogenic and may have other hazards such as target organ effect, corrosivity, </w:t>
            </w:r>
            <w:r w:rsidR="00BD7E94">
              <w:rPr>
                <w:rStyle w:val="markedcontent"/>
                <w:rFonts w:cs="Arial"/>
              </w:rPr>
              <w:t xml:space="preserve">skin irritation/burns, mild to severe eye damage, injury to the respiratory or digestive tracts, </w:t>
            </w:r>
            <w:r w:rsidR="003759B6">
              <w:rPr>
                <w:rStyle w:val="markedcontent"/>
                <w:rFonts w:cs="Arial"/>
              </w:rPr>
              <w:t xml:space="preserve">and </w:t>
            </w:r>
            <w:r w:rsidR="00BD7E94">
              <w:rPr>
                <w:rStyle w:val="markedcontent"/>
                <w:rFonts w:cs="Arial"/>
              </w:rPr>
              <w:t xml:space="preserve">lung damage. </w:t>
            </w:r>
            <w:r w:rsidR="00D749BA" w:rsidRPr="00D749BA">
              <w:rPr>
                <w:rStyle w:val="markedcontent"/>
                <w:rFonts w:cs="Arial"/>
              </w:rPr>
              <w:t>Make sure that all the potential hazards are clearly understood before handling any toxic chemical.</w:t>
            </w:r>
          </w:p>
          <w:p w14:paraId="7E5A75C3" w14:textId="77777777" w:rsidR="000B2958" w:rsidRDefault="000B2958" w:rsidP="000B2958">
            <w:pPr>
              <w:autoSpaceDE w:val="0"/>
              <w:autoSpaceDN w:val="0"/>
              <w:adjustRightInd w:val="0"/>
            </w:pPr>
          </w:p>
          <w:p w14:paraId="237EFC27" w14:textId="7C358850" w:rsidR="00F3046C" w:rsidRDefault="00C900EC" w:rsidP="00896DAC">
            <w:pPr>
              <w:autoSpaceDE w:val="0"/>
              <w:autoSpaceDN w:val="0"/>
              <w:adjustRightInd w:val="0"/>
              <w:rPr>
                <w:b/>
                <w:bCs/>
              </w:rPr>
            </w:pPr>
            <w:r>
              <w:rPr>
                <w:b/>
                <w:bCs/>
              </w:rPr>
              <w:t xml:space="preserve">Acutely toxic </w:t>
            </w:r>
            <w:r w:rsidR="00A13312">
              <w:rPr>
                <w:b/>
                <w:bCs/>
              </w:rPr>
              <w:t>materials</w:t>
            </w:r>
            <w:r w:rsidR="005B6EB9" w:rsidRPr="001E1A3D">
              <w:rPr>
                <w:b/>
                <w:bCs/>
              </w:rPr>
              <w:t xml:space="preserve"> may have </w:t>
            </w:r>
            <w:r w:rsidR="00280221">
              <w:rPr>
                <w:b/>
                <w:bCs/>
              </w:rPr>
              <w:t>additional</w:t>
            </w:r>
            <w:r w:rsidR="005B6EB9" w:rsidRPr="001E1A3D">
              <w:rPr>
                <w:b/>
                <w:bCs/>
              </w:rPr>
              <w:t xml:space="preserve"> hazards associated wi</w:t>
            </w:r>
            <w:r w:rsidR="00C3776C">
              <w:rPr>
                <w:b/>
                <w:bCs/>
              </w:rPr>
              <w:t>th</w:t>
            </w:r>
            <w:r w:rsidR="005B6EB9" w:rsidRPr="001E1A3D">
              <w:rPr>
                <w:b/>
                <w:bCs/>
              </w:rPr>
              <w:t xml:space="preserve"> them, such as </w:t>
            </w:r>
            <w:r w:rsidR="006D5E52">
              <w:rPr>
                <w:b/>
                <w:bCs/>
              </w:rPr>
              <w:t>flammable</w:t>
            </w:r>
            <w:r w:rsidR="005652D9">
              <w:rPr>
                <w:b/>
                <w:bCs/>
              </w:rPr>
              <w:t xml:space="preserve">, </w:t>
            </w:r>
            <w:r w:rsidR="00264A0F">
              <w:rPr>
                <w:b/>
                <w:bCs/>
              </w:rPr>
              <w:t>corr</w:t>
            </w:r>
            <w:r w:rsidR="0073693E">
              <w:rPr>
                <w:b/>
                <w:bCs/>
              </w:rPr>
              <w:t>o</w:t>
            </w:r>
            <w:r w:rsidR="00264A0F">
              <w:rPr>
                <w:b/>
                <w:bCs/>
              </w:rPr>
              <w:t>s</w:t>
            </w:r>
            <w:r w:rsidR="0073693E">
              <w:rPr>
                <w:b/>
                <w:bCs/>
              </w:rPr>
              <w:t>ive</w:t>
            </w:r>
            <w:r w:rsidR="005652D9">
              <w:rPr>
                <w:b/>
                <w:bCs/>
              </w:rPr>
              <w:t>, and health hazard</w:t>
            </w:r>
            <w:r w:rsidR="005B6EB9" w:rsidRPr="001E1A3D">
              <w:rPr>
                <w:b/>
                <w:bCs/>
              </w:rPr>
              <w:t>.</w:t>
            </w:r>
            <w:r w:rsidR="005B6EB9">
              <w:rPr>
                <w:b/>
                <w:bCs/>
              </w:rPr>
              <w:t xml:space="preserve"> </w:t>
            </w:r>
            <w:r w:rsidR="005B6EB9" w:rsidRPr="005B6EB9">
              <w:rPr>
                <w:b/>
                <w:bCs/>
                <w:color w:val="FF0000"/>
              </w:rPr>
              <w:t>Add or delete</w:t>
            </w:r>
            <w:r w:rsidR="000A67C9">
              <w:rPr>
                <w:b/>
                <w:bCs/>
                <w:color w:val="FF0000"/>
              </w:rPr>
              <w:t xml:space="preserve"> </w:t>
            </w:r>
            <w:hyperlink r:id="rId8" w:history="1">
              <w:r w:rsidR="000A67C9" w:rsidRPr="000A67C9">
                <w:rPr>
                  <w:rStyle w:val="Hyperlink"/>
                  <w:b/>
                  <w:bCs/>
                </w:rPr>
                <w:t>GHS hazard pictograms</w:t>
              </w:r>
            </w:hyperlink>
            <w:r w:rsidR="005B6EB9" w:rsidRPr="005B6EB9">
              <w:rPr>
                <w:b/>
                <w:bCs/>
                <w:color w:val="FF0000"/>
              </w:rPr>
              <w:t xml:space="preserve"> accordingly.</w:t>
            </w:r>
          </w:p>
          <w:p w14:paraId="554ED48E" w14:textId="6A53149B" w:rsidR="00436D33" w:rsidRPr="00436D33" w:rsidRDefault="005652D9" w:rsidP="00896DAC">
            <w:pPr>
              <w:autoSpaceDE w:val="0"/>
              <w:autoSpaceDN w:val="0"/>
              <w:adjustRightInd w:val="0"/>
              <w:rPr>
                <w:bCs/>
              </w:rPr>
            </w:pPr>
            <w:r>
              <w:rPr>
                <w:noProof/>
              </w:rPr>
              <w:drawing>
                <wp:inline distT="0" distB="0" distL="0" distR="0" wp14:anchorId="507C76CF" wp14:editId="51E6D6BD">
                  <wp:extent cx="586854" cy="586854"/>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584" t="-3584" r="-3584" b="-3584"/>
                          <a:stretch/>
                        </pic:blipFill>
                        <pic:spPr bwMode="auto">
                          <a:xfrm>
                            <a:off x="0" y="0"/>
                            <a:ext cx="587965" cy="587965"/>
                          </a:xfrm>
                          <a:prstGeom prst="rect">
                            <a:avLst/>
                          </a:prstGeom>
                          <a:noFill/>
                          <a:ln>
                            <a:noFill/>
                          </a:ln>
                        </pic:spPr>
                      </pic:pic>
                    </a:graphicData>
                  </a:graphic>
                </wp:inline>
              </w:drawing>
            </w:r>
            <w:r>
              <w:rPr>
                <w:bCs/>
              </w:rPr>
              <w:t xml:space="preserve"> </w:t>
            </w:r>
            <w:r w:rsidR="00F3046C">
              <w:rPr>
                <w:rFonts w:cs="Arial"/>
                <w:noProof/>
              </w:rPr>
              <w:drawing>
                <wp:inline distT="0" distB="0" distL="0" distR="0" wp14:anchorId="139F7856" wp14:editId="67D846D8">
                  <wp:extent cx="593677" cy="5936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58" t="-4258" r="-4258" b="-4258"/>
                          <a:stretch/>
                        </pic:blipFill>
                        <pic:spPr bwMode="auto">
                          <a:xfrm>
                            <a:off x="0" y="0"/>
                            <a:ext cx="595365" cy="595365"/>
                          </a:xfrm>
                          <a:prstGeom prst="rect">
                            <a:avLst/>
                          </a:prstGeom>
                          <a:noFill/>
                          <a:ln>
                            <a:noFill/>
                          </a:ln>
                        </pic:spPr>
                      </pic:pic>
                    </a:graphicData>
                  </a:graphic>
                </wp:inline>
              </w:drawing>
            </w:r>
            <w:r w:rsidR="00F3046C">
              <w:rPr>
                <w:noProof/>
              </w:rPr>
              <w:drawing>
                <wp:inline distT="0" distB="0" distL="0" distR="0" wp14:anchorId="11CB60E5" wp14:editId="4250E74A">
                  <wp:extent cx="593677" cy="593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476" t="-4476" r="-4476" b="-4476"/>
                          <a:stretch/>
                        </pic:blipFill>
                        <pic:spPr bwMode="auto">
                          <a:xfrm>
                            <a:off x="0" y="0"/>
                            <a:ext cx="597749" cy="597749"/>
                          </a:xfrm>
                          <a:prstGeom prst="rect">
                            <a:avLst/>
                          </a:prstGeom>
                          <a:noFill/>
                          <a:ln>
                            <a:noFill/>
                          </a:ln>
                        </pic:spPr>
                      </pic:pic>
                    </a:graphicData>
                  </a:graphic>
                </wp:inline>
              </w:drawing>
            </w:r>
            <w:r w:rsidR="00F3046C">
              <w:rPr>
                <w:bCs/>
              </w:rPr>
              <w:t xml:space="preserve"> </w:t>
            </w:r>
            <w:r w:rsidR="00F3046C">
              <w:rPr>
                <w:rFonts w:cs="Arial"/>
                <w:noProof/>
              </w:rPr>
              <w:drawing>
                <wp:inline distT="0" distB="0" distL="0" distR="0" wp14:anchorId="4AAFF052" wp14:editId="5AA35AD2">
                  <wp:extent cx="638175" cy="638175"/>
                  <wp:effectExtent l="0" t="0" r="0"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r w:rsidR="00F3046C">
              <w:rPr>
                <w:b/>
                <w:bCs/>
                <w:noProof/>
              </w:rPr>
              <w:drawing>
                <wp:inline distT="0" distB="0" distL="0" distR="0" wp14:anchorId="32FB20A6" wp14:editId="67204DC7">
                  <wp:extent cx="600501" cy="60050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765" t="-4765" r="-4765" b="-4765"/>
                          <a:stretch/>
                        </pic:blipFill>
                        <pic:spPr bwMode="auto">
                          <a:xfrm>
                            <a:off x="0" y="0"/>
                            <a:ext cx="600927" cy="600927"/>
                          </a:xfrm>
                          <a:prstGeom prst="rect">
                            <a:avLst/>
                          </a:prstGeom>
                          <a:noFill/>
                          <a:ln>
                            <a:noFill/>
                          </a:ln>
                        </pic:spPr>
                      </pic:pic>
                    </a:graphicData>
                  </a:graphic>
                </wp:inline>
              </w:drawing>
            </w:r>
            <w:r w:rsidR="00F3046C">
              <w:rPr>
                <w:noProof/>
              </w:rPr>
              <w:drawing>
                <wp:inline distT="0" distB="0" distL="0" distR="0" wp14:anchorId="328C28E6" wp14:editId="4609CFF4">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943" t="-17275" r="-9943" b="-17275"/>
                          <a:stretch/>
                        </pic:blipFill>
                        <pic:spPr>
                          <a:xfrm>
                            <a:off x="0" y="0"/>
                            <a:ext cx="767366" cy="615161"/>
                          </a:xfrm>
                          <a:prstGeom prst="rect">
                            <a:avLst/>
                          </a:prstGeom>
                        </pic:spPr>
                      </pic:pic>
                    </a:graphicData>
                  </a:graphic>
                </wp:inline>
              </w:drawing>
            </w:r>
            <w:r w:rsidR="00F3046C">
              <w:rPr>
                <w:noProof/>
              </w:rPr>
              <w:drawing>
                <wp:inline distT="0" distB="0" distL="0" distR="0" wp14:anchorId="595E588F" wp14:editId="1378408A">
                  <wp:extent cx="638175" cy="638175"/>
                  <wp:effectExtent l="0" t="0" r="0" b="9525"/>
                  <wp:docPr id="2" name="Picture 2" descr="Pictogram_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ogram_Gas Cylinder"/>
                          <pic:cNvPicPr>
                            <a:picLocks noChangeAspect="1"/>
                          </pic:cNvPicPr>
                        </pic:nvPicPr>
                        <pic:blipFill rotWithShape="1">
                          <a:blip r:embed="rId15"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p>
          <w:p w14:paraId="2E0C67DC" w14:textId="7360ACFA" w:rsidR="003E3CD1" w:rsidRPr="00E37318" w:rsidRDefault="00896DAC" w:rsidP="00572BC0">
            <w:r>
              <w:t xml:space="preserve">  </w:t>
            </w:r>
          </w:p>
          <w:p w14:paraId="2192404D" w14:textId="6678CBE3" w:rsidR="006A6643" w:rsidRDefault="006914B9" w:rsidP="002577C7">
            <w:pPr>
              <w:rPr>
                <w:rFonts w:cs="Arial"/>
              </w:rPr>
            </w:pPr>
            <w:r>
              <w:rPr>
                <w:rFonts w:cs="Arial"/>
              </w:rPr>
              <w:t>*</w:t>
            </w:r>
            <w:r w:rsidRPr="00E0181C">
              <w:rPr>
                <w:rFonts w:cs="Arial"/>
                <w:b/>
              </w:rPr>
              <w:t>Always refer to the Safety Data Sheet for the most detailed information</w:t>
            </w:r>
            <w:r>
              <w:rPr>
                <w:rFonts w:cs="Arial"/>
              </w:rPr>
              <w:t>*</w:t>
            </w:r>
          </w:p>
          <w:p w14:paraId="4332AB04" w14:textId="09D79358" w:rsidR="00D27151" w:rsidRDefault="00D27151" w:rsidP="002577C7">
            <w:pPr>
              <w:rPr>
                <w:rFonts w:cs="Arial"/>
              </w:rPr>
            </w:pPr>
          </w:p>
          <w:p w14:paraId="70915707" w14:textId="20F3CB73" w:rsidR="002577C7" w:rsidRPr="006B73EF" w:rsidRDefault="00D27151" w:rsidP="006B73EF">
            <w:pPr>
              <w:pStyle w:val="ListParagraph"/>
              <w:numPr>
                <w:ilvl w:val="0"/>
                <w:numId w:val="9"/>
              </w:numPr>
              <w:spacing w:after="120"/>
              <w:ind w:left="250" w:hanging="250"/>
              <w:rPr>
                <w:rFonts w:cs="Arial"/>
              </w:rPr>
            </w:pPr>
            <w:r w:rsidRPr="0048601B">
              <w:rPr>
                <w:rFonts w:cs="Arial"/>
                <w:b/>
                <w:bCs/>
              </w:rPr>
              <w:t>Note:</w:t>
            </w:r>
            <w:r>
              <w:rPr>
                <w:rFonts w:cs="Arial"/>
              </w:rPr>
              <w:t xml:space="preserve"> If working with </w:t>
            </w:r>
            <w:r w:rsidR="00C900EC">
              <w:rPr>
                <w:rFonts w:cs="Arial"/>
              </w:rPr>
              <w:t xml:space="preserve">acutely toxic </w:t>
            </w:r>
            <w:r w:rsidR="00923F76">
              <w:rPr>
                <w:rFonts w:cs="Arial"/>
              </w:rPr>
              <w:t>materials</w:t>
            </w:r>
            <w:r w:rsidR="0073693E">
              <w:rPr>
                <w:rFonts w:cs="Arial"/>
              </w:rPr>
              <w:t xml:space="preserve"> that have </w:t>
            </w:r>
            <w:r w:rsidR="00B57CEE">
              <w:rPr>
                <w:rFonts w:cs="Arial"/>
              </w:rPr>
              <w:t xml:space="preserve">multiple </w:t>
            </w:r>
            <w:r w:rsidR="0073693E">
              <w:rPr>
                <w:rFonts w:cs="Arial"/>
              </w:rPr>
              <w:t xml:space="preserve">hazards, </w:t>
            </w:r>
            <w:r w:rsidR="00B57CEE">
              <w:rPr>
                <w:rFonts w:cs="Arial"/>
              </w:rPr>
              <w:t xml:space="preserve">multiple SOPs would apply </w:t>
            </w:r>
            <w:r w:rsidR="0073693E">
              <w:rPr>
                <w:rFonts w:cs="Arial"/>
              </w:rPr>
              <w:t>(</w:t>
            </w:r>
            <w:proofErr w:type="gramStart"/>
            <w:r w:rsidR="0073693E">
              <w:rPr>
                <w:rFonts w:cs="Arial"/>
              </w:rPr>
              <w:t>e.g.</w:t>
            </w:r>
            <w:proofErr w:type="gramEnd"/>
            <w:r w:rsidR="0073693E">
              <w:rPr>
                <w:rFonts w:cs="Arial"/>
              </w:rPr>
              <w:t xml:space="preserve"> </w:t>
            </w:r>
            <w:r w:rsidR="006B73EF">
              <w:rPr>
                <w:rFonts w:cs="Arial"/>
              </w:rPr>
              <w:t>Acrolein</w:t>
            </w:r>
            <w:r w:rsidR="0073693E">
              <w:rPr>
                <w:rFonts w:cs="Arial"/>
              </w:rPr>
              <w:t xml:space="preserve"> is a </w:t>
            </w:r>
            <w:r w:rsidR="006B73EF">
              <w:rPr>
                <w:rFonts w:cs="Arial"/>
              </w:rPr>
              <w:t>flammable liquid and suspected carcinogen</w:t>
            </w:r>
            <w:r w:rsidR="00B36ABE">
              <w:rPr>
                <w:rFonts w:cs="Arial"/>
              </w:rPr>
              <w:t xml:space="preserve"> </w:t>
            </w:r>
            <w:r w:rsidR="0073693E">
              <w:rPr>
                <w:rFonts w:cs="Arial"/>
              </w:rPr>
              <w:t>in addition to be</w:t>
            </w:r>
            <w:r w:rsidR="00586A39">
              <w:rPr>
                <w:rFonts w:cs="Arial"/>
              </w:rPr>
              <w:t>ing</w:t>
            </w:r>
            <w:r w:rsidR="0073693E">
              <w:rPr>
                <w:rFonts w:cs="Arial"/>
              </w:rPr>
              <w:t xml:space="preserve"> a</w:t>
            </w:r>
            <w:r w:rsidR="00B36ABE">
              <w:rPr>
                <w:rFonts w:cs="Arial"/>
              </w:rPr>
              <w:t>cutely toxic</w:t>
            </w:r>
            <w:r w:rsidR="0073693E">
              <w:rPr>
                <w:rFonts w:cs="Arial"/>
              </w:rPr>
              <w:t>).</w:t>
            </w: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6C0F66AB" w:rsidR="001C3710" w:rsidRPr="00563D81" w:rsidRDefault="001C3710" w:rsidP="001C3710">
            <w:pPr>
              <w:rPr>
                <w:bCs/>
              </w:rPr>
            </w:pPr>
            <w:r>
              <w:t>Sa</w:t>
            </w:r>
            <w:r w:rsidR="00583A52">
              <w:t>fety Data Sheet</w:t>
            </w:r>
            <w:r w:rsidR="00967281">
              <w:t>s</w:t>
            </w:r>
            <w:r w:rsidR="00583A52">
              <w:t xml:space="preserve"> (SDS) for </w:t>
            </w:r>
            <w:r w:rsidR="00623E33">
              <w:t>acutely</w:t>
            </w:r>
            <w:r w:rsidR="00CF7405">
              <w:t xml:space="preserve"> toxi</w:t>
            </w:r>
            <w:r w:rsidR="00623E33">
              <w:t xml:space="preserve">c </w:t>
            </w:r>
            <w:r w:rsidR="001F779C">
              <w:t>materials</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6C033042" w:rsidR="003E3CD1" w:rsidRDefault="00A52324" w:rsidP="00E56778">
            <w:r w:rsidRPr="001D65E2">
              <w:rPr>
                <w:u w:val="single"/>
              </w:rPr>
              <w:t>Labeling</w:t>
            </w:r>
            <w:r>
              <w:t xml:space="preserve">: </w:t>
            </w:r>
            <w:r w:rsidR="00623E33">
              <w:t>Acutely</w:t>
            </w:r>
            <w:r w:rsidR="00CF7405">
              <w:t xml:space="preserve"> tox</w:t>
            </w:r>
            <w:r w:rsidR="00623E33">
              <w:t xml:space="preserve">ic </w:t>
            </w:r>
            <w:r w:rsidR="001F779C">
              <w:t>material</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For information on workplace labels, see </w:t>
            </w:r>
            <w:hyperlink r:id="rId16"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E808BA">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29F42FBF"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F41A44">
              <w:t xml:space="preserve"> at the minimum</w:t>
            </w:r>
            <w:r>
              <w:t>.</w:t>
            </w:r>
            <w:r w:rsidR="00526F6C">
              <w:t xml:space="preserve"> </w:t>
            </w:r>
            <w:r w:rsidR="00AF356D">
              <w:t xml:space="preserve">ANSI approved safety glasses may be appropriate when properly working behind a fume hood’s protective sash. </w:t>
            </w:r>
            <w:r w:rsidR="00384764">
              <w:t xml:space="preserve">Double gloving </w:t>
            </w:r>
            <w:r w:rsidR="00AF356D">
              <w:t>is recommended. Change gloves immediately if contaminated or at least every 2 hours. Wash hands at time of glove change. Some acute</w:t>
            </w:r>
            <w:r w:rsidR="005E753D">
              <w:t>ly</w:t>
            </w:r>
            <w:r w:rsidR="00AF356D">
              <w:t xml:space="preserve"> toxi</w:t>
            </w:r>
            <w:r w:rsidR="005E753D">
              <w:t xml:space="preserve">c </w:t>
            </w:r>
            <w:r w:rsidR="005E753D">
              <w:lastRenderedPageBreak/>
              <w:t>materials</w:t>
            </w:r>
            <w:r w:rsidR="00AF356D">
              <w:t xml:space="preserve"> have the potential to penetrate gloves. Review the chemical SDS and glove compatibility chart to identify the ideal glove material to use. </w:t>
            </w:r>
          </w:p>
          <w:p w14:paraId="743A5489" w14:textId="77777777" w:rsidR="00E65D8E" w:rsidRDefault="00E65D8E" w:rsidP="00151226"/>
          <w:p w14:paraId="6B6B8188" w14:textId="439E5C68" w:rsidR="00E65D8E" w:rsidRDefault="003B4598" w:rsidP="00151226">
            <w:r>
              <w:t xml:space="preserve">When working with </w:t>
            </w:r>
            <w:r w:rsidR="003D5CFC">
              <w:t>acutely toxic substances</w:t>
            </w:r>
            <w:r w:rsidR="003F53E0">
              <w:t xml:space="preserve"> </w:t>
            </w:r>
            <w:r>
              <w:t xml:space="preserve">with an increased risk of splash or spill exposure </w:t>
            </w:r>
            <w:r w:rsidR="008E13DD">
              <w:t>(</w:t>
            </w:r>
            <w:proofErr w:type="gramStart"/>
            <w:r>
              <w:t>e.g.</w:t>
            </w:r>
            <w:proofErr w:type="gramEnd"/>
            <w:r>
              <w:t xml:space="preserve"> transfers from a larger container</w:t>
            </w:r>
            <w:r w:rsidR="008E13DD">
              <w:t>)</w:t>
            </w:r>
            <w:r w:rsidR="00F635AB">
              <w:t xml:space="preserve">, </w:t>
            </w:r>
            <w:r>
              <w:t>consider siphon transfer for improved control or additional PPE, such as</w:t>
            </w:r>
            <w:r w:rsidR="00E65D8E">
              <w:t xml:space="preserve"> </w:t>
            </w:r>
            <w:r w:rsidR="00BB6025">
              <w:t>thick-cut nitrile</w:t>
            </w:r>
            <w:r w:rsidR="00FD4F4C">
              <w:t xml:space="preserve"> </w:t>
            </w:r>
            <w:r w:rsidR="00E65D8E">
              <w:t>or equivalent</w:t>
            </w:r>
            <w:r w:rsidR="00F635AB">
              <w:t xml:space="preserve"> gloves</w:t>
            </w:r>
            <w:r w:rsidR="00795E56">
              <w:t>, face shield</w:t>
            </w:r>
            <w:r w:rsidR="002C246E">
              <w:t xml:space="preserve"> </w:t>
            </w:r>
            <w:r w:rsidR="004815AC">
              <w:t xml:space="preserve">and a </w:t>
            </w:r>
            <w:r w:rsidR="0011031D">
              <w:t>chemical-resistant apron</w:t>
            </w:r>
            <w:r w:rsidR="00F635AB">
              <w:t xml:space="preserve">.  </w:t>
            </w:r>
            <w:r w:rsidR="00A474B2">
              <w:t>Wash hands</w:t>
            </w:r>
            <w:r w:rsidR="00E65D8E">
              <w:t xml:space="preserve"> immediately</w:t>
            </w:r>
            <w:r w:rsidR="00A474B2">
              <w:t xml:space="preserve"> after </w:t>
            </w:r>
            <w:r w:rsidR="00E65D8E">
              <w:t xml:space="preserve">handling </w:t>
            </w:r>
            <w:r w:rsidR="003D5CFC">
              <w:t xml:space="preserve">acutely toxic </w:t>
            </w:r>
            <w:r w:rsidR="00AF356D">
              <w:t>materials</w:t>
            </w:r>
            <w:r w:rsidR="001433FC">
              <w:t xml:space="preserve"> </w:t>
            </w:r>
            <w:r w:rsidR="00E65D8E">
              <w:t xml:space="preserve">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 xml:space="preserve">Full length pants and close-toed shoes are required to be </w:t>
            </w:r>
            <w:proofErr w:type="gramStart"/>
            <w:r>
              <w:t>worn at all times</w:t>
            </w:r>
            <w:proofErr w:type="gramEnd"/>
            <w:r>
              <w:t>.</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53DD70EC" w:rsidR="00151226" w:rsidRDefault="00F635AB" w:rsidP="00151226">
            <w:r>
              <w:t>Always w</w:t>
            </w:r>
            <w:r w:rsidR="00151226">
              <w:t xml:space="preserve">ork </w:t>
            </w:r>
            <w:r w:rsidR="00526F6C">
              <w:t xml:space="preserve">with </w:t>
            </w:r>
            <w:r w:rsidR="001F779C">
              <w:t>acutely toxic materials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373082">
              <w:t>.</w:t>
            </w:r>
            <w:r w:rsidR="00247508">
              <w:t xml:space="preserve"> A glove box may be appropriate for handling </w:t>
            </w:r>
            <w:r w:rsidR="001F779C">
              <w:t xml:space="preserve">some </w:t>
            </w:r>
            <w:r w:rsidR="00541047">
              <w:t xml:space="preserve">acutely toxic </w:t>
            </w:r>
            <w:r w:rsidR="001F779C">
              <w:t>materials</w:t>
            </w:r>
            <w:r w:rsidR="00247508">
              <w:t xml:space="preserve">. </w:t>
            </w:r>
          </w:p>
          <w:p w14:paraId="3803E04E" w14:textId="07C0E695" w:rsidR="00E454E9" w:rsidRDefault="00E454E9" w:rsidP="00151226"/>
          <w:p w14:paraId="0E5A983B" w14:textId="7FCB586E" w:rsidR="00E454E9" w:rsidRDefault="00E454E9" w:rsidP="00151226">
            <w:r>
              <w:t>Mechanical vacuum pumps must be protected using cold traps and, where appropriate, must include a filter to prevent particulate release. The pump exhaust must be vented into an approved exhaust duct or chemical 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7141EFE3" w:rsidR="0002180A" w:rsidRDefault="0002180A" w:rsidP="00151226">
            <w:r>
              <w:t xml:space="preserve">If </w:t>
            </w:r>
            <w:r w:rsidR="00541047">
              <w:t xml:space="preserve">acutely toxic </w:t>
            </w:r>
            <w:r w:rsidR="001F779C">
              <w:t>materials</w:t>
            </w:r>
            <w:r w:rsidR="006073D8">
              <w:t xml:space="preserve"> are</w:t>
            </w:r>
            <w:r>
              <w:t xml:space="preserve"> used outside of a chemical fume hood,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E808BA">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7EEFA67D" w14:textId="77777777" w:rsidR="004415B4" w:rsidRDefault="00151226" w:rsidP="004415B4">
            <w:bookmarkStart w:id="0" w:name="_Hlk117064462"/>
            <w:r w:rsidRPr="00352450">
              <w:rPr>
                <w:b/>
              </w:rPr>
              <w:t xml:space="preserve">Waste </w:t>
            </w:r>
            <w:r w:rsidR="00541047">
              <w:rPr>
                <w:b/>
              </w:rPr>
              <w:t xml:space="preserve">Acutely Toxic </w:t>
            </w:r>
            <w:r w:rsidR="00AB1FD0">
              <w:rPr>
                <w:b/>
              </w:rPr>
              <w:t>Materials</w:t>
            </w:r>
            <w:r>
              <w:t xml:space="preserve"> m</w:t>
            </w:r>
            <w:r w:rsidR="00C54FF8">
              <w:t xml:space="preserve">ust be </w:t>
            </w:r>
            <w:r w:rsidR="009A46A7">
              <w:t xml:space="preserve">managed </w:t>
            </w:r>
            <w:r w:rsidR="00C54FF8">
              <w:t>as a Dangerous Waste.</w:t>
            </w:r>
            <w:bookmarkEnd w:id="0"/>
            <w:r w:rsidR="00C54FF8">
              <w:t xml:space="preserve"> </w:t>
            </w:r>
            <w:r w:rsidR="004B6B0E">
              <w:t xml:space="preserve">Acutely toxic </w:t>
            </w:r>
            <w:r w:rsidR="00AB1FD0">
              <w:t>material</w:t>
            </w:r>
            <w:r w:rsidR="00D46C9D">
              <w:t xml:space="preserve"> wastes</w:t>
            </w:r>
            <w:r w:rsidR="00C54FF8">
              <w:t xml:space="preserve"> should be collected</w:t>
            </w:r>
            <w:r>
              <w:t xml:space="preserve"> in a compatible container</w:t>
            </w:r>
            <w:r w:rsidR="00D46C9D">
              <w:t xml:space="preserve"> </w:t>
            </w:r>
            <w:r w:rsidR="0003259B">
              <w:t>(</w:t>
            </w:r>
            <w:proofErr w:type="gramStart"/>
            <w:r w:rsidR="00D46C9D">
              <w:t>e.g.</w:t>
            </w:r>
            <w:proofErr w:type="gramEnd"/>
            <w:r w:rsidR="00D46C9D">
              <w:t xml:space="preserve">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BA57A4">
              <w:t xml:space="preserve">reference </w:t>
            </w:r>
            <w:r w:rsidR="004E63F1">
              <w:t xml:space="preserve">Section 10 of </w:t>
            </w:r>
            <w:r w:rsidR="00BA57A4">
              <w:t>the SDS for incompatible materials</w:t>
            </w:r>
            <w:r w:rsidR="00AF6A1F" w:rsidRPr="00092C2B">
              <w:t>)</w:t>
            </w:r>
            <w:r w:rsidR="00D45721" w:rsidRPr="00092C2B">
              <w:t xml:space="preserve">. </w:t>
            </w:r>
          </w:p>
          <w:p w14:paraId="1DB73743" w14:textId="77777777" w:rsidR="004415B4" w:rsidRDefault="004415B4" w:rsidP="004415B4"/>
          <w:p w14:paraId="48F4120D" w14:textId="4F1D1BAD" w:rsidR="004415B4" w:rsidRDefault="004415B4" w:rsidP="004415B4">
            <w:r>
              <w:t xml:space="preserve">Some Extremely Hazardous Waste (EHW) </w:t>
            </w:r>
            <w:proofErr w:type="gramStart"/>
            <w:r>
              <w:t>is considered to be</w:t>
            </w:r>
            <w:proofErr w:type="gramEnd"/>
            <w:r>
              <w:t xml:space="preserve"> “</w:t>
            </w:r>
            <w:hyperlink r:id="rId17" w:history="1">
              <w:r>
                <w:rPr>
                  <w:rStyle w:val="Hyperlink"/>
                </w:rPr>
                <w:t>acutely hazardous waste</w:t>
              </w:r>
            </w:hyperlink>
            <w:r w:rsidR="00C223B9">
              <w:t>”</w:t>
            </w:r>
            <w:r>
              <w:t xml:space="preserve"> by both state and federal agencies. Acutely hazardous waste can be accumulated in a waste generation area only in quantities up to one quart before it must be removed, within three days, to a 90-day accumulation area. </w:t>
            </w:r>
          </w:p>
          <w:p w14:paraId="08B983DC" w14:textId="77777777" w:rsidR="004415B4" w:rsidRDefault="004415B4" w:rsidP="004415B4"/>
          <w:p w14:paraId="3C95F6A1" w14:textId="06D0A354" w:rsidR="004415B4" w:rsidRDefault="004415B4" w:rsidP="004415B4">
            <w:r>
              <w:t>Empty containers that previously contained a</w:t>
            </w:r>
            <w:r w:rsidR="00C223B9">
              <w:t xml:space="preserve"> regulated </w:t>
            </w:r>
            <w:hyperlink r:id="rId18" w:history="1">
              <w:r w:rsidRPr="00C223B9">
                <w:rPr>
                  <w:rStyle w:val="Hyperlink"/>
                </w:rPr>
                <w:t>P-listed chemical</w:t>
              </w:r>
            </w:hyperlink>
            <w:r>
              <w:t xml:space="preserve"> such as sodium </w:t>
            </w:r>
            <w:proofErr w:type="spellStart"/>
            <w:r>
              <w:t>azide</w:t>
            </w:r>
            <w:proofErr w:type="spellEnd"/>
            <w:r>
              <w:t xml:space="preserve"> or cyanide salts are regulated as a hazardous waste.  These </w:t>
            </w:r>
            <w:r w:rsidR="00D62B6E">
              <w:t xml:space="preserve">empty </w:t>
            </w:r>
            <w:r>
              <w:t xml:space="preserve">containers must be disposed of through EHS as </w:t>
            </w:r>
            <w:r w:rsidR="00C223B9">
              <w:t>dangerous</w:t>
            </w:r>
            <w:r>
              <w:t xml:space="preserve"> waste. </w:t>
            </w:r>
          </w:p>
          <w:p w14:paraId="6FE64D77" w14:textId="77777777" w:rsidR="00D45721" w:rsidRDefault="00D45721" w:rsidP="00151226"/>
          <w:p w14:paraId="7136B81A" w14:textId="03CDB91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9"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6D20B232" w:rsidR="00C54FF8" w:rsidRDefault="006D349F" w:rsidP="00C54FF8">
            <w:r>
              <w:t xml:space="preserve">Do not dispose of </w:t>
            </w:r>
            <w:r w:rsidR="004B6B0E">
              <w:t xml:space="preserve">acutely toxic </w:t>
            </w:r>
            <w:r w:rsidR="00FD356D">
              <w:t>material</w:t>
            </w:r>
            <w:r>
              <w:t xml:space="preserve"> wastes down the drain or </w:t>
            </w:r>
            <w:r w:rsidR="00E30435">
              <w:t>in the regular waste stream</w:t>
            </w:r>
            <w:r>
              <w:t xml:space="preserve">. </w:t>
            </w:r>
            <w:r w:rsidR="00FD356D">
              <w:t xml:space="preserve">Dispose of any expired or unnecessary acutely toxic materials as dangerous waste. </w:t>
            </w:r>
            <w:r w:rsidR="00F41A44">
              <w:t xml:space="preserve">For assistance evaluating dangerous waste collection of </w:t>
            </w:r>
            <w:r w:rsidR="00BB6118">
              <w:t>carcinogens</w:t>
            </w:r>
            <w:r w:rsidR="00F41A44">
              <w:t xml:space="preserve">, </w:t>
            </w:r>
            <w:r>
              <w:t>c</w:t>
            </w:r>
            <w:r w:rsidR="002E71DC">
              <w:t xml:space="preserve">ontact </w:t>
            </w:r>
            <w:r w:rsidR="00DE5D18">
              <w:t>EH&amp;S</w:t>
            </w:r>
            <w:r w:rsidR="002E71DC">
              <w:t xml:space="preserve"> </w:t>
            </w:r>
            <w:hyperlink r:id="rId20"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0099AA20"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4B6B0E">
              <w:rPr>
                <w:b/>
                <w:bCs/>
                <w:color w:val="FF0000"/>
              </w:rPr>
              <w:t xml:space="preserve">acutely toxic </w:t>
            </w:r>
            <w:r w:rsidR="005E753D">
              <w:rPr>
                <w:b/>
                <w:bCs/>
                <w:color w:val="FF0000"/>
              </w:rPr>
              <w:t>material</w:t>
            </w:r>
            <w:r w:rsidRPr="0069320B">
              <w:rPr>
                <w:b/>
                <w:bCs/>
                <w:color w:val="FF0000"/>
              </w:rPr>
              <w:t xml:space="preserve">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E808BA">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743E5AC9" w:rsidR="00151226" w:rsidRDefault="004B6B0E" w:rsidP="00151226">
            <w:pPr>
              <w:rPr>
                <w:b/>
                <w:color w:val="0000FF"/>
              </w:rPr>
            </w:pPr>
            <w:r>
              <w:t xml:space="preserve">Acutely toxic </w:t>
            </w:r>
            <w:r w:rsidR="005B2D31">
              <w:t>materials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10107E54" w14:textId="77777777" w:rsidR="009A1850" w:rsidRDefault="009A1850" w:rsidP="00151226"/>
          <w:p w14:paraId="778B66C9" w14:textId="1A51DA25" w:rsidR="00151226" w:rsidRPr="00D3385C" w:rsidRDefault="00151226" w:rsidP="00151226">
            <w:pPr>
              <w:rPr>
                <w:b/>
              </w:rPr>
            </w:pPr>
            <w:r w:rsidRPr="00D3385C">
              <w:rPr>
                <w:b/>
              </w:rPr>
              <w:t xml:space="preserve">Confine all work with </w:t>
            </w:r>
            <w:r w:rsidR="004B6B0E">
              <w:rPr>
                <w:b/>
              </w:rPr>
              <w:t xml:space="preserve">acutely toxic </w:t>
            </w:r>
            <w:r w:rsidR="005B2D31">
              <w:rPr>
                <w:b/>
              </w:rPr>
              <w:t>materials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9A1850">
              <w:rPr>
                <w:b/>
                <w:color w:val="000000"/>
              </w:rPr>
              <w:t xml:space="preserve">. </w:t>
            </w:r>
          </w:p>
          <w:p w14:paraId="39F32F9F" w14:textId="77777777" w:rsidR="00151226" w:rsidRDefault="00151226" w:rsidP="00151226"/>
          <w:p w14:paraId="4176B151" w14:textId="4F71E48A"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5F594F28" w14:textId="003EA73F" w:rsidR="000F4B19" w:rsidRDefault="000F4B19" w:rsidP="00E56778"/>
          <w:p w14:paraId="334FF039" w14:textId="612DDDB0" w:rsidR="004A52B8" w:rsidRPr="004A52B8" w:rsidRDefault="004A52B8" w:rsidP="00BA37FB">
            <w:pPr>
              <w:rPr>
                <w:b/>
                <w:bCs/>
              </w:rPr>
            </w:pPr>
            <w:r w:rsidRPr="004A52B8">
              <w:rPr>
                <w:b/>
                <w:bCs/>
                <w:u w:val="single"/>
              </w:rPr>
              <w:t>Designated Areas</w:t>
            </w:r>
            <w:r>
              <w:rPr>
                <w:b/>
                <w:bCs/>
              </w:rPr>
              <w:t>:</w:t>
            </w:r>
          </w:p>
          <w:p w14:paraId="792081FA" w14:textId="20441899" w:rsidR="000F4B19" w:rsidRDefault="000F4B19" w:rsidP="000F4B19">
            <w:r>
              <w:t xml:space="preserve">For use of </w:t>
            </w:r>
            <w:r w:rsidR="004B6B0E">
              <w:t>acutely toxic</w:t>
            </w:r>
            <w:r w:rsidR="005B2D31">
              <w:t xml:space="preserve"> materials</w:t>
            </w:r>
            <w:r>
              <w:t xml:space="preserv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2C92B07D" w14:textId="4002649F" w:rsidR="00955E25" w:rsidRDefault="000F4B19" w:rsidP="00955E25">
            <w:pPr>
              <w:spacing w:after="80"/>
            </w:pPr>
            <w:r w:rsidRPr="00C5055D">
              <w:t xml:space="preserve">WARNING! </w:t>
            </w:r>
            <w:r w:rsidR="00BC04AF">
              <w:t xml:space="preserve">SODIUM </w:t>
            </w:r>
            <w:r w:rsidR="006E01C2">
              <w:t>C</w:t>
            </w:r>
            <w:r w:rsidR="00BC04AF">
              <w:t>YANIDE</w:t>
            </w:r>
            <w:r w:rsidRPr="00C5055D">
              <w:t xml:space="preserve"> WORK AREA –</w:t>
            </w:r>
            <w:r w:rsidR="00BC04AF">
              <w:t xml:space="preserve"> HIGHLY TOXIC</w:t>
            </w:r>
            <w:r w:rsidRPr="00C5055D">
              <w:t>.</w:t>
            </w:r>
          </w:p>
          <w:p w14:paraId="693705CC" w14:textId="6F89EB07" w:rsidR="00955E25" w:rsidRDefault="000F4B19" w:rsidP="00955E25">
            <w:pPr>
              <w:pStyle w:val="ListParagraph"/>
              <w:numPr>
                <w:ilvl w:val="0"/>
                <w:numId w:val="14"/>
              </w:numPr>
            </w:pPr>
            <w:r>
              <w:t>Upon leaving the designated area, remove any personal protective equipment worn and wash hands</w:t>
            </w:r>
            <w:r w:rsidR="00BA57A4">
              <w:t xml:space="preserve"> with soap and water</w:t>
            </w:r>
            <w:r>
              <w:t>.</w:t>
            </w:r>
          </w:p>
          <w:p w14:paraId="65B3BA4C" w14:textId="0325C56E" w:rsidR="00955E25" w:rsidRDefault="000F4B19" w:rsidP="00955E25">
            <w:pPr>
              <w:pStyle w:val="ListParagraph"/>
              <w:numPr>
                <w:ilvl w:val="0"/>
                <w:numId w:val="14"/>
              </w:numPr>
              <w:spacing w:after="120"/>
            </w:pPr>
            <w:r>
              <w:t>After each use (or day), wipe down the immediate work area and equipment to prevent accumulation of chemical residue.</w:t>
            </w:r>
          </w:p>
          <w:p w14:paraId="7EA2DD12" w14:textId="6E1B0FF4" w:rsidR="000F4B19" w:rsidRDefault="000F4B19" w:rsidP="000F4B19">
            <w:pPr>
              <w:pStyle w:val="ListParagraph"/>
              <w:numPr>
                <w:ilvl w:val="0"/>
                <w:numId w:val="14"/>
              </w:numPr>
            </w:pPr>
            <w:r>
              <w:t>At the end of each project, thoroughly decontaminate the designated area before resuming normal laboratory work in the area.</w:t>
            </w:r>
          </w:p>
          <w:p w14:paraId="79E21686" w14:textId="71871042" w:rsidR="0055639F" w:rsidRDefault="0055639F" w:rsidP="00E56778"/>
          <w:p w14:paraId="65879E4C" w14:textId="23AD47C7" w:rsidR="0055639F" w:rsidRDefault="0055639F" w:rsidP="00E56778">
            <w:pPr>
              <w:rPr>
                <w:b/>
                <w:bCs/>
              </w:rPr>
            </w:pPr>
            <w:r w:rsidRPr="0069320B">
              <w:rPr>
                <w:b/>
                <w:bCs/>
                <w:color w:val="FF0000"/>
              </w:rPr>
              <w:t xml:space="preserve">Insert lab specific information on </w:t>
            </w:r>
            <w:r w:rsidR="004B6B0E">
              <w:rPr>
                <w:b/>
                <w:bCs/>
                <w:color w:val="FF0000"/>
              </w:rPr>
              <w:t xml:space="preserve">acutely toxic </w:t>
            </w:r>
            <w:r w:rsidR="006E01C2">
              <w:rPr>
                <w:b/>
                <w:bCs/>
                <w:color w:val="FF0000"/>
              </w:rPr>
              <w:t>material</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E808BA">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01DB0D51"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B76922">
              <w:t>an acutely toxic material</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 xml:space="preserve">If the spill is contained, secure the area, </w:t>
            </w:r>
            <w:proofErr w:type="gramStart"/>
            <w:r w:rsidR="009A68D5">
              <w:t>evacuate</w:t>
            </w:r>
            <w:proofErr w:type="gramEnd"/>
            <w:r w:rsidR="009A68D5">
              <w:t xml:space="preserve"> and call EH&amp;S at 509-335-3041.</w:t>
            </w:r>
            <w:bookmarkEnd w:id="1"/>
          </w:p>
          <w:p w14:paraId="678CFB96" w14:textId="77777777" w:rsidR="00150DEA" w:rsidRPr="00D80E1D" w:rsidRDefault="00150DEA" w:rsidP="00150DEA">
            <w:pPr>
              <w:rPr>
                <w:highlight w:val="cyan"/>
              </w:rPr>
            </w:pPr>
          </w:p>
          <w:p w14:paraId="269C9BB9" w14:textId="5EAE8060"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B76922">
              <w:t>an acutely toxic material</w:t>
            </w:r>
            <w:r w:rsidR="00CC2532">
              <w:t xml:space="preserve"> </w:t>
            </w:r>
            <w:r w:rsidR="00150DEA">
              <w:t xml:space="preserve">is </w:t>
            </w:r>
            <w:r w:rsidR="00D45721">
              <w:t>spilled</w:t>
            </w:r>
            <w:r w:rsidR="003A6CBB">
              <w:t xml:space="preserve"> (it can be cleaned up in 10 minutes)</w:t>
            </w:r>
            <w:r w:rsidR="00150DEA">
              <w:t xml:space="preserve"> and you have been appropriately trained to clean it up, you may do so.  Trained personnel sh</w:t>
            </w:r>
            <w:r w:rsidR="00604711">
              <w:t>all</w:t>
            </w:r>
            <w:r w:rsidR="00A474B2">
              <w:t xml:space="preserve"> wear nitrile</w:t>
            </w:r>
            <w:r w:rsidR="00FE1BC7">
              <w:t xml:space="preserve"> </w:t>
            </w:r>
            <w:r w:rsidR="00150DEA">
              <w:t xml:space="preserve">gloves, chemical splash goggles, and a </w:t>
            </w:r>
            <w:proofErr w:type="gramStart"/>
            <w:r w:rsidR="00150DEA">
              <w:t>fully-buttoned</w:t>
            </w:r>
            <w:proofErr w:type="gramEnd"/>
            <w:r w:rsidR="00150DEA">
              <w:t xml:space="preserve"> lab coat.  </w:t>
            </w:r>
          </w:p>
          <w:p w14:paraId="610ECB7E" w14:textId="77777777" w:rsidR="004B449D" w:rsidRDefault="004B449D" w:rsidP="00150DEA">
            <w:pPr>
              <w:autoSpaceDE w:val="0"/>
              <w:autoSpaceDN w:val="0"/>
              <w:adjustRightInd w:val="0"/>
            </w:pPr>
          </w:p>
          <w:p w14:paraId="4446B41B" w14:textId="78F59C8E" w:rsidR="00D80ACD" w:rsidRDefault="00B57CEE" w:rsidP="00D80ACD">
            <w:pPr>
              <w:autoSpaceDE w:val="0"/>
              <w:autoSpaceDN w:val="0"/>
              <w:adjustRightInd w:val="0"/>
            </w:pPr>
            <w:r>
              <w:t>If material is liquid, absorb with an inert material. If material is solid, sweep up carefully with spark-resistant tools and avoid generating dust. P</w:t>
            </w:r>
            <w:r w:rsidR="00D80ACD">
              <w:rPr>
                <w:rFonts w:cs="Arial"/>
              </w:rPr>
              <w:t>lace material in an appropriate waste disposal container (resealable bag, etc.)</w:t>
            </w:r>
            <w:r w:rsidR="00D80ACD">
              <w:t xml:space="preserve"> and dispose of as </w:t>
            </w:r>
            <w:r w:rsidR="007B494C">
              <w:t>dangerous</w:t>
            </w:r>
            <w:r w:rsidR="00D80ACD">
              <w:t xml:space="preserve"> waste (see </w:t>
            </w:r>
            <w:r w:rsidR="007B494C">
              <w:t xml:space="preserve">Section </w:t>
            </w:r>
            <w:r w:rsidR="00ED1215">
              <w:t>6</w:t>
            </w:r>
            <w:r w:rsidR="007B494C">
              <w:t>:</w:t>
            </w:r>
            <w:r w:rsidR="00D80ACD">
              <w:t xml:space="preserve"> WASTE DISPOSAL PROCEDURES).  </w:t>
            </w:r>
          </w:p>
          <w:p w14:paraId="0B71F474" w14:textId="77777777" w:rsidR="00D80ACD" w:rsidRDefault="00D80ACD" w:rsidP="00CD195E">
            <w:pPr>
              <w:autoSpaceDE w:val="0"/>
              <w:autoSpaceDN w:val="0"/>
              <w:adjustRightInd w:val="0"/>
            </w:pPr>
          </w:p>
          <w:p w14:paraId="0FA17EF6" w14:textId="5105B151" w:rsidR="00CD195E" w:rsidRDefault="00CD195E" w:rsidP="00CD195E">
            <w:pPr>
              <w:autoSpaceDE w:val="0"/>
              <w:autoSpaceDN w:val="0"/>
              <w:adjustRightInd w:val="0"/>
            </w:pPr>
            <w:r>
              <w:lastRenderedPageBreak/>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604711">
              <w:t xml:space="preserve">the large release </w:t>
            </w:r>
            <w:r w:rsidR="00D80ACD">
              <w:t>instructions above</w:t>
            </w:r>
            <w:r>
              <w:t>.</w:t>
            </w:r>
          </w:p>
          <w:p w14:paraId="02364F50" w14:textId="77777777" w:rsidR="003A6CBB" w:rsidRDefault="003A6CBB" w:rsidP="00D80ACD"/>
          <w:p w14:paraId="646408F8" w14:textId="5A96CF69" w:rsidR="00D80ACD" w:rsidRPr="009B1B62" w:rsidRDefault="0055639F" w:rsidP="00D80ACD">
            <w:pPr>
              <w:rPr>
                <w:b/>
                <w:bCs/>
              </w:rPr>
            </w:pPr>
            <w:r w:rsidRPr="009B1B62">
              <w:rPr>
                <w:b/>
                <w:bCs/>
                <w:color w:val="FF0000"/>
              </w:rPr>
              <w:t xml:space="preserve">Insert lab specific information on </w:t>
            </w:r>
            <w:r w:rsidR="00B76922">
              <w:rPr>
                <w:b/>
                <w:bCs/>
                <w:color w:val="FF0000"/>
              </w:rPr>
              <w:t>acutely toxic material</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75D66F6F" w14:textId="7F4E54C9" w:rsidR="002C246E" w:rsidRDefault="006A1B07" w:rsidP="00B46839">
            <w:pPr>
              <w:pStyle w:val="ListParagraph"/>
              <w:numPr>
                <w:ilvl w:val="0"/>
                <w:numId w:val="7"/>
              </w:numPr>
              <w:autoSpaceDE w:val="0"/>
              <w:autoSpaceDN w:val="0"/>
              <w:adjustRightInd w:val="0"/>
              <w:ind w:left="226" w:hanging="270"/>
            </w:pPr>
            <w:r>
              <w:t>Store</w:t>
            </w:r>
            <w:r w:rsidR="006154CC">
              <w:t xml:space="preserve"> </w:t>
            </w:r>
            <w:r w:rsidR="00B76922">
              <w:t>acutely toxic material</w:t>
            </w:r>
            <w:r w:rsidR="000E69B4">
              <w:t xml:space="preserve"> </w:t>
            </w:r>
            <w:r w:rsidR="006154CC">
              <w:t>containers upright</w:t>
            </w:r>
            <w:r>
              <w:t xml:space="preserve"> in a </w:t>
            </w:r>
            <w:r w:rsidR="001058D1">
              <w:t>designated</w:t>
            </w:r>
            <w:r w:rsidR="00BA3899">
              <w:t>, labeled</w:t>
            </w:r>
            <w:r w:rsidR="001058D1">
              <w:t xml:space="preserve"> area such as a </w:t>
            </w:r>
            <w:r w:rsidR="0044220D">
              <w:t xml:space="preserve">chemical </w:t>
            </w:r>
            <w:r w:rsidR="001058D1">
              <w:t>storage cabinet</w:t>
            </w:r>
            <w:r w:rsidR="00247508">
              <w:t>.</w:t>
            </w:r>
            <w:r w:rsidR="001058D1">
              <w:t xml:space="preserve"> </w:t>
            </w:r>
            <w:r w:rsidR="00806A7B">
              <w:t>Secondary containment is recommended</w:t>
            </w:r>
            <w:r w:rsidR="00D62B6E">
              <w:t xml:space="preserve"> for storage of all acutely toxic materials</w:t>
            </w:r>
            <w:r w:rsidR="00806A7B">
              <w:t xml:space="preserve">. </w:t>
            </w:r>
            <w:r w:rsidR="00463A42">
              <w:t xml:space="preserve">Liquid acute toxins should always be stored below eye level. </w:t>
            </w:r>
            <w:r w:rsidR="001058D1">
              <w:t xml:space="preserve">Storage area should be a </w:t>
            </w:r>
            <w:r>
              <w:t xml:space="preserve">secured, </w:t>
            </w:r>
            <w:proofErr w:type="gramStart"/>
            <w:r>
              <w:t>cool</w:t>
            </w:r>
            <w:proofErr w:type="gramEnd"/>
            <w:r>
              <w:t xml:space="preserve"> and well-ventilated area away from direct sunlight, heat, sparks, flame, or other sources of ignition. </w:t>
            </w:r>
            <w:r w:rsidR="002D6487">
              <w:t>Consider storing highly toxic materials in a locked storage cabinet.</w:t>
            </w:r>
          </w:p>
          <w:p w14:paraId="73B6E8E5" w14:textId="77777777" w:rsidR="00BA3899" w:rsidRDefault="00BA3899" w:rsidP="00BA3899">
            <w:pPr>
              <w:pStyle w:val="ListParagraph"/>
              <w:autoSpaceDE w:val="0"/>
              <w:autoSpaceDN w:val="0"/>
              <w:adjustRightInd w:val="0"/>
              <w:ind w:left="226"/>
            </w:pPr>
          </w:p>
          <w:p w14:paraId="64A5D7FE" w14:textId="7E6CE7A7" w:rsidR="00BA3899" w:rsidRDefault="00BA3899" w:rsidP="00B46839">
            <w:pPr>
              <w:pStyle w:val="ListParagraph"/>
              <w:numPr>
                <w:ilvl w:val="0"/>
                <w:numId w:val="7"/>
              </w:numPr>
              <w:autoSpaceDE w:val="0"/>
              <w:autoSpaceDN w:val="0"/>
              <w:adjustRightInd w:val="0"/>
              <w:ind w:left="226" w:hanging="270"/>
            </w:pPr>
            <w:r>
              <w:t xml:space="preserve">Store </w:t>
            </w:r>
            <w:r w:rsidR="00C83449">
              <w:t>acutely toxic materials</w:t>
            </w:r>
            <w:r>
              <w:t xml:space="preserve"> in a designated, labeled</w:t>
            </w:r>
            <w:r w:rsidR="00247508">
              <w:t>, secure</w:t>
            </w:r>
            <w:r>
              <w:t xml:space="preserve"> storage area away f</w:t>
            </w:r>
            <w:r w:rsidR="009E6540">
              <w:t>ro</w:t>
            </w:r>
            <w:r>
              <w:t xml:space="preserve">m other types of chemicals, unless the </w:t>
            </w:r>
            <w:r w:rsidR="00C83449">
              <w:t>acutely toxic material</w:t>
            </w:r>
            <w:r>
              <w:t xml:space="preserve"> belongs to a group </w:t>
            </w:r>
            <w:r w:rsidR="00B611E0">
              <w:t>that</w:t>
            </w:r>
            <w:r>
              <w:t xml:space="preserve"> requires certain storage (</w:t>
            </w:r>
            <w:proofErr w:type="gramStart"/>
            <w:r>
              <w:t>e.g.</w:t>
            </w:r>
            <w:proofErr w:type="gramEnd"/>
            <w:r>
              <w:t xml:space="preserve"> flammable liquids should be stored in a flammable storage cabinet).</w:t>
            </w:r>
          </w:p>
          <w:p w14:paraId="18F07273" w14:textId="77777777" w:rsidR="00FE362E" w:rsidRDefault="00FE362E" w:rsidP="00FE362E">
            <w:pPr>
              <w:pStyle w:val="ListParagraph"/>
            </w:pPr>
          </w:p>
          <w:p w14:paraId="34CC33EA" w14:textId="0706E006" w:rsidR="00FE362E" w:rsidRDefault="00FE362E" w:rsidP="00B46839">
            <w:pPr>
              <w:pStyle w:val="ListParagraph"/>
              <w:numPr>
                <w:ilvl w:val="0"/>
                <w:numId w:val="7"/>
              </w:numPr>
              <w:autoSpaceDE w:val="0"/>
              <w:autoSpaceDN w:val="0"/>
              <w:adjustRightInd w:val="0"/>
              <w:ind w:left="226" w:hanging="270"/>
            </w:pPr>
            <w:r>
              <w:t xml:space="preserve">All areas where </w:t>
            </w:r>
            <w:r w:rsidR="005C43A4">
              <w:t>acutely toxic materials</w:t>
            </w:r>
            <w:r>
              <w:t xml:space="preserve"> are stored or manipulated must be labeled as a designated area (see Section 7: D</w:t>
            </w:r>
            <w:r w:rsidR="00476FD4">
              <w:t>ESIGNATED</w:t>
            </w:r>
            <w:r>
              <w:t xml:space="preserve"> A</w:t>
            </w:r>
            <w:r w:rsidR="00476FD4">
              <w:t>REA</w:t>
            </w:r>
            <w:r>
              <w:t xml:space="preserve"> I</w:t>
            </w:r>
            <w:r w:rsidR="00476FD4">
              <w:t>NFORMATION</w:t>
            </w:r>
            <w:r>
              <w:t>).</w:t>
            </w:r>
          </w:p>
          <w:p w14:paraId="195BB6B7" w14:textId="77777777" w:rsidR="00BA3899" w:rsidRDefault="00BA3899" w:rsidP="00BA3899">
            <w:pPr>
              <w:pStyle w:val="ListParagraph"/>
            </w:pPr>
          </w:p>
          <w:p w14:paraId="374CD387" w14:textId="604CEA85" w:rsidR="00BA3899" w:rsidRDefault="00BA3899" w:rsidP="00BA3899">
            <w:pPr>
              <w:pStyle w:val="ListParagraph"/>
              <w:numPr>
                <w:ilvl w:val="0"/>
                <w:numId w:val="7"/>
              </w:numPr>
              <w:autoSpaceDE w:val="0"/>
              <w:autoSpaceDN w:val="0"/>
              <w:adjustRightInd w:val="0"/>
              <w:ind w:left="226" w:hanging="270"/>
            </w:pPr>
            <w:r>
              <w:t>Analyze all chemical hazards of a</w:t>
            </w:r>
            <w:r w:rsidR="005C43A4">
              <w:t xml:space="preserve">n acutely toxic material </w:t>
            </w:r>
            <w:r>
              <w:t xml:space="preserve">and store segregated from incompatible chemicals (refer to Section 10 of SDS). If storage space is limited, </w:t>
            </w:r>
            <w:r w:rsidRPr="00DE03B6">
              <w:t>use secondary containment such as a Nalgene/polypropylene tub</w:t>
            </w:r>
            <w:r>
              <w:t>s</w:t>
            </w:r>
            <w:r w:rsidRPr="00DE03B6">
              <w:t>.</w:t>
            </w:r>
            <w:r w:rsidRPr="00EA15AB">
              <w:rPr>
                <w:rFonts w:cs="Arial"/>
              </w:rPr>
              <w:t xml:space="preserve"> </w:t>
            </w:r>
          </w:p>
          <w:p w14:paraId="56582CF8" w14:textId="77777777" w:rsidR="00BA3899" w:rsidRDefault="00BA3899" w:rsidP="00BA3899">
            <w:pPr>
              <w:pStyle w:val="ListParagraph"/>
            </w:pPr>
          </w:p>
          <w:p w14:paraId="7937377A" w14:textId="24D2D553" w:rsidR="00BA3899" w:rsidRDefault="00BA3899" w:rsidP="00BA3899">
            <w:pPr>
              <w:pStyle w:val="ListParagraph"/>
              <w:numPr>
                <w:ilvl w:val="0"/>
                <w:numId w:val="7"/>
              </w:numPr>
              <w:autoSpaceDE w:val="0"/>
              <w:autoSpaceDN w:val="0"/>
              <w:adjustRightInd w:val="0"/>
              <w:ind w:left="226" w:hanging="270"/>
            </w:pPr>
            <w:r>
              <w:t xml:space="preserve">Store in tightly closed original container until ready for use. </w:t>
            </w:r>
            <w:r w:rsidR="002048DF">
              <w:t xml:space="preserve">Immediately close all containers after use. </w:t>
            </w:r>
            <w:r>
              <w:t xml:space="preserve">Containers should be in good condition and compatible with material. </w:t>
            </w:r>
          </w:p>
          <w:p w14:paraId="2CCF68CE" w14:textId="77777777" w:rsidR="00EF53B9" w:rsidRDefault="00EF53B9" w:rsidP="00EF53B9">
            <w:pPr>
              <w:pStyle w:val="ListParagraph"/>
            </w:pPr>
          </w:p>
          <w:p w14:paraId="474E95A3" w14:textId="3F1899A8" w:rsidR="00EF53B9" w:rsidRDefault="00EF53B9" w:rsidP="00BA3899">
            <w:pPr>
              <w:pStyle w:val="ListParagraph"/>
              <w:numPr>
                <w:ilvl w:val="0"/>
                <w:numId w:val="7"/>
              </w:numPr>
              <w:autoSpaceDE w:val="0"/>
              <w:autoSpaceDN w:val="0"/>
              <w:adjustRightInd w:val="0"/>
              <w:ind w:left="226" w:hanging="270"/>
            </w:pPr>
            <w:r>
              <w:t xml:space="preserve">Transport </w:t>
            </w:r>
            <w:r w:rsidR="00C275EA">
              <w:t xml:space="preserve">acutely </w:t>
            </w:r>
            <w:r>
              <w:t xml:space="preserve">toxic materials between locations </w:t>
            </w:r>
            <w:r w:rsidR="00C275EA">
              <w:t xml:space="preserve">in secondary containment, such as polyethylene or other non-reactive, </w:t>
            </w:r>
            <w:r>
              <w:t>non-breakable bottle carrier.</w:t>
            </w:r>
          </w:p>
          <w:p w14:paraId="5ADDEF65" w14:textId="77777777" w:rsidR="00733756" w:rsidRDefault="00733756" w:rsidP="000F3394"/>
          <w:p w14:paraId="04917263" w14:textId="507030E7" w:rsidR="00733756" w:rsidRDefault="00733756" w:rsidP="00B46839">
            <w:pPr>
              <w:pStyle w:val="ListParagraph"/>
              <w:numPr>
                <w:ilvl w:val="0"/>
                <w:numId w:val="7"/>
              </w:numPr>
              <w:autoSpaceDE w:val="0"/>
              <w:autoSpaceDN w:val="0"/>
              <w:adjustRightInd w:val="0"/>
              <w:ind w:left="226" w:hanging="270"/>
            </w:pPr>
            <w:r>
              <w:t>Purchase and store smallest quantities</w:t>
            </w:r>
            <w:r w:rsidR="00E41203">
              <w:t xml:space="preserve"> and lowest concentration</w:t>
            </w:r>
            <w:r>
              <w:t xml:space="preserve"> needed for experimentation</w:t>
            </w:r>
            <w:r w:rsidR="00CB59ED">
              <w:t xml:space="preserve"> and what can be stored safely in the laboratory</w:t>
            </w:r>
            <w:r>
              <w:t xml:space="preserve">. </w:t>
            </w:r>
          </w:p>
          <w:p w14:paraId="69504D97" w14:textId="77777777" w:rsidR="00E41203" w:rsidRDefault="00E41203" w:rsidP="00E41203">
            <w:pPr>
              <w:pStyle w:val="ListParagraph"/>
            </w:pPr>
          </w:p>
          <w:p w14:paraId="56B7EEC8" w14:textId="3CD0EE93" w:rsidR="00E41203" w:rsidRDefault="00E41203" w:rsidP="00B46839">
            <w:pPr>
              <w:pStyle w:val="ListParagraph"/>
              <w:numPr>
                <w:ilvl w:val="0"/>
                <w:numId w:val="7"/>
              </w:numPr>
              <w:autoSpaceDE w:val="0"/>
              <w:autoSpaceDN w:val="0"/>
              <w:adjustRightInd w:val="0"/>
              <w:ind w:left="226" w:hanging="270"/>
            </w:pPr>
            <w:r>
              <w:t xml:space="preserve">Do not use </w:t>
            </w:r>
            <w:r w:rsidR="005C43A4">
              <w:t>acutely toxic materials</w:t>
            </w:r>
            <w:r>
              <w:t xml:space="preserve"> if less-hazardous alternatives are possible.</w:t>
            </w:r>
          </w:p>
          <w:p w14:paraId="540D7D29" w14:textId="77777777" w:rsidR="00E41203" w:rsidRDefault="00E41203" w:rsidP="00E41203">
            <w:pPr>
              <w:pStyle w:val="ListParagraph"/>
            </w:pPr>
          </w:p>
          <w:p w14:paraId="0624760D" w14:textId="3FE86673" w:rsidR="00E94B70" w:rsidRDefault="00E94B70" w:rsidP="00B46839">
            <w:pPr>
              <w:pStyle w:val="ListParagraph"/>
              <w:numPr>
                <w:ilvl w:val="0"/>
                <w:numId w:val="7"/>
              </w:numPr>
              <w:autoSpaceDE w:val="0"/>
              <w:autoSpaceDN w:val="0"/>
              <w:adjustRightInd w:val="0"/>
              <w:ind w:left="226" w:hanging="270"/>
            </w:pPr>
            <w:r>
              <w:t>Do not handle acutely toxic materials when working alone.</w:t>
            </w:r>
          </w:p>
          <w:p w14:paraId="3FD17E5B" w14:textId="77777777" w:rsidR="00E94B70" w:rsidRDefault="00E94B70" w:rsidP="00E94B70">
            <w:pPr>
              <w:pStyle w:val="ListParagraph"/>
            </w:pPr>
          </w:p>
          <w:p w14:paraId="53894449" w14:textId="1B1B6CAA" w:rsidR="00E41203" w:rsidRDefault="00E41203" w:rsidP="00B46839">
            <w:pPr>
              <w:pStyle w:val="ListParagraph"/>
              <w:numPr>
                <w:ilvl w:val="0"/>
                <w:numId w:val="7"/>
              </w:numPr>
              <w:autoSpaceDE w:val="0"/>
              <w:autoSpaceDN w:val="0"/>
              <w:adjustRightInd w:val="0"/>
              <w:ind w:left="226" w:hanging="270"/>
            </w:pPr>
            <w:r w:rsidRPr="00E41203">
              <w:t xml:space="preserve">Do not dispense </w:t>
            </w:r>
            <w:r w:rsidR="005C43A4">
              <w:t>acutely toxic material</w:t>
            </w:r>
            <w:r w:rsidRPr="00E41203">
              <w:t xml:space="preserve"> directly onto a laboratory balance in the general lab space.  Instead,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6BD03210" w14:textId="7FEE3F15" w:rsidR="00B46839" w:rsidRDefault="00B46839" w:rsidP="000F3394">
            <w:pPr>
              <w:autoSpaceDE w:val="0"/>
              <w:autoSpaceDN w:val="0"/>
              <w:adjustRightInd w:val="0"/>
            </w:pPr>
          </w:p>
          <w:p w14:paraId="00F9AB6E" w14:textId="792DD2D7" w:rsidR="003E3CD1" w:rsidRDefault="006154CC" w:rsidP="006E091B">
            <w:pPr>
              <w:autoSpaceDE w:val="0"/>
              <w:autoSpaceDN w:val="0"/>
              <w:adjustRightInd w:val="0"/>
            </w:pPr>
            <w:r w:rsidRPr="006154CC">
              <w:rPr>
                <w:b/>
                <w:bCs/>
                <w:color w:val="FF0000"/>
              </w:rPr>
              <w:t>Insert additional lab specific information on</w:t>
            </w:r>
            <w:r w:rsidR="00863B3E">
              <w:rPr>
                <w:b/>
                <w:bCs/>
                <w:color w:val="FF0000"/>
              </w:rPr>
              <w:t xml:space="preserve"> </w:t>
            </w:r>
            <w:r w:rsidR="00DF76D8">
              <w:rPr>
                <w:b/>
                <w:bCs/>
                <w:color w:val="FF0000"/>
              </w:rPr>
              <w:t>acutely toxic material</w:t>
            </w:r>
            <w:r w:rsidRPr="006154CC">
              <w:rPr>
                <w:b/>
                <w:bCs/>
                <w:color w:val="FF0000"/>
              </w:rPr>
              <w:t xml:space="preserve"> controls.</w:t>
            </w:r>
          </w:p>
          <w:p w14:paraId="760C0F74" w14:textId="77777777" w:rsidR="006A6643" w:rsidRDefault="006A6643" w:rsidP="00B46839"/>
        </w:tc>
      </w:tr>
    </w:tbl>
    <w:p w14:paraId="2446A4C3" w14:textId="40433929" w:rsidR="001E5D79" w:rsidRDefault="001E5D79" w:rsidP="006E091B"/>
    <w:p w14:paraId="24F57949" w14:textId="2DCB89F7" w:rsidR="003D118A" w:rsidRDefault="003D118A" w:rsidP="006E091B"/>
    <w:p w14:paraId="74788A97" w14:textId="4F69B618" w:rsidR="00C275EA" w:rsidRDefault="00C275EA" w:rsidP="006E091B"/>
    <w:p w14:paraId="257B9EA5" w14:textId="77777777" w:rsidR="00C275EA" w:rsidRDefault="00C275EA" w:rsidP="006E091B"/>
    <w:p w14:paraId="5C96299C" w14:textId="77777777" w:rsidR="00963DC2" w:rsidRPr="006E091B" w:rsidRDefault="00963DC2" w:rsidP="006E091B"/>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002E636E"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DF76D8">
        <w:rPr>
          <w:rFonts w:eastAsia="Calibri" w:cs="Arial"/>
          <w:bCs/>
        </w:rPr>
        <w:t>Acutely Toxic Materials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21"/>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0EC7" w14:textId="77777777" w:rsidR="00110B72" w:rsidRDefault="00110B72" w:rsidP="00153467">
      <w:r>
        <w:separator/>
      </w:r>
    </w:p>
  </w:endnote>
  <w:endnote w:type="continuationSeparator" w:id="0">
    <w:p w14:paraId="3D1ACABC" w14:textId="77777777" w:rsidR="00110B72" w:rsidRDefault="00110B72"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296A" w14:textId="77777777" w:rsidR="00110B72" w:rsidRDefault="00110B72" w:rsidP="00153467">
      <w:r>
        <w:separator/>
      </w:r>
    </w:p>
  </w:footnote>
  <w:footnote w:type="continuationSeparator" w:id="0">
    <w:p w14:paraId="1719CC61" w14:textId="77777777" w:rsidR="00110B72" w:rsidRDefault="00110B72"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D2325A"/>
    <w:multiLevelType w:val="hybridMultilevel"/>
    <w:tmpl w:val="BE28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44735"/>
    <w:multiLevelType w:val="hybridMultilevel"/>
    <w:tmpl w:val="332435E6"/>
    <w:lvl w:ilvl="0" w:tplc="BFE8E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590142E0"/>
    <w:multiLevelType w:val="hybridMultilevel"/>
    <w:tmpl w:val="9B5E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962B51"/>
    <w:multiLevelType w:val="hybridMultilevel"/>
    <w:tmpl w:val="0E8C6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717F60"/>
    <w:multiLevelType w:val="hybridMultilevel"/>
    <w:tmpl w:val="D060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8292507">
    <w:abstractNumId w:val="12"/>
  </w:num>
  <w:num w:numId="2" w16cid:durableId="5788327">
    <w:abstractNumId w:val="5"/>
  </w:num>
  <w:num w:numId="3" w16cid:durableId="46875245">
    <w:abstractNumId w:val="8"/>
  </w:num>
  <w:num w:numId="4" w16cid:durableId="778184668">
    <w:abstractNumId w:val="0"/>
  </w:num>
  <w:num w:numId="5" w16cid:durableId="125709859">
    <w:abstractNumId w:val="9"/>
  </w:num>
  <w:num w:numId="6" w16cid:durableId="1335914662">
    <w:abstractNumId w:val="16"/>
  </w:num>
  <w:num w:numId="7" w16cid:durableId="115607437">
    <w:abstractNumId w:val="2"/>
  </w:num>
  <w:num w:numId="8" w16cid:durableId="2008899180">
    <w:abstractNumId w:val="10"/>
  </w:num>
  <w:num w:numId="9" w16cid:durableId="222519955">
    <w:abstractNumId w:val="3"/>
  </w:num>
  <w:num w:numId="10" w16cid:durableId="503520162">
    <w:abstractNumId w:val="6"/>
  </w:num>
  <w:num w:numId="11" w16cid:durableId="580064328">
    <w:abstractNumId w:val="7"/>
  </w:num>
  <w:num w:numId="12" w16cid:durableId="880171412">
    <w:abstractNumId w:val="14"/>
  </w:num>
  <w:num w:numId="13" w16cid:durableId="2130587633">
    <w:abstractNumId w:val="11"/>
  </w:num>
  <w:num w:numId="14" w16cid:durableId="363672467">
    <w:abstractNumId w:val="4"/>
  </w:num>
  <w:num w:numId="15" w16cid:durableId="1292592100">
    <w:abstractNumId w:val="15"/>
  </w:num>
  <w:num w:numId="16" w16cid:durableId="1796868945">
    <w:abstractNumId w:val="13"/>
  </w:num>
  <w:num w:numId="17" w16cid:durableId="54390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0FEF"/>
    <w:rsid w:val="00002C13"/>
    <w:rsid w:val="000053C6"/>
    <w:rsid w:val="000172D9"/>
    <w:rsid w:val="0002180A"/>
    <w:rsid w:val="0003259B"/>
    <w:rsid w:val="00034E07"/>
    <w:rsid w:val="0003669F"/>
    <w:rsid w:val="000514DD"/>
    <w:rsid w:val="0005394A"/>
    <w:rsid w:val="000605F5"/>
    <w:rsid w:val="000633CF"/>
    <w:rsid w:val="00067044"/>
    <w:rsid w:val="00071EDE"/>
    <w:rsid w:val="00074824"/>
    <w:rsid w:val="00077942"/>
    <w:rsid w:val="000830D0"/>
    <w:rsid w:val="00091169"/>
    <w:rsid w:val="00092C2B"/>
    <w:rsid w:val="00095787"/>
    <w:rsid w:val="00095E80"/>
    <w:rsid w:val="000A4E7C"/>
    <w:rsid w:val="000A67C9"/>
    <w:rsid w:val="000B2958"/>
    <w:rsid w:val="000C5304"/>
    <w:rsid w:val="000D43C6"/>
    <w:rsid w:val="000D6C72"/>
    <w:rsid w:val="000E0457"/>
    <w:rsid w:val="000E5D36"/>
    <w:rsid w:val="000E5D5B"/>
    <w:rsid w:val="000E69B4"/>
    <w:rsid w:val="000F31EA"/>
    <w:rsid w:val="000F3394"/>
    <w:rsid w:val="000F3DF2"/>
    <w:rsid w:val="000F4B19"/>
    <w:rsid w:val="000F507D"/>
    <w:rsid w:val="000F5E46"/>
    <w:rsid w:val="000F754A"/>
    <w:rsid w:val="00104420"/>
    <w:rsid w:val="0010513F"/>
    <w:rsid w:val="001058D1"/>
    <w:rsid w:val="00106518"/>
    <w:rsid w:val="001068AA"/>
    <w:rsid w:val="0011031D"/>
    <w:rsid w:val="00110B72"/>
    <w:rsid w:val="0011111F"/>
    <w:rsid w:val="00125B3A"/>
    <w:rsid w:val="00127BA4"/>
    <w:rsid w:val="00136072"/>
    <w:rsid w:val="001365FF"/>
    <w:rsid w:val="001433FC"/>
    <w:rsid w:val="00146F06"/>
    <w:rsid w:val="001479A1"/>
    <w:rsid w:val="00150DEA"/>
    <w:rsid w:val="00151226"/>
    <w:rsid w:val="00153467"/>
    <w:rsid w:val="00154B46"/>
    <w:rsid w:val="0017428D"/>
    <w:rsid w:val="00180D33"/>
    <w:rsid w:val="001818DD"/>
    <w:rsid w:val="001819D7"/>
    <w:rsid w:val="00182110"/>
    <w:rsid w:val="001835C0"/>
    <w:rsid w:val="001909B4"/>
    <w:rsid w:val="001B0B55"/>
    <w:rsid w:val="001B4386"/>
    <w:rsid w:val="001B549E"/>
    <w:rsid w:val="001C3710"/>
    <w:rsid w:val="001C6BAF"/>
    <w:rsid w:val="001D30A8"/>
    <w:rsid w:val="001D4676"/>
    <w:rsid w:val="001D5882"/>
    <w:rsid w:val="001D65E2"/>
    <w:rsid w:val="001E031E"/>
    <w:rsid w:val="001E14BA"/>
    <w:rsid w:val="001E19F0"/>
    <w:rsid w:val="001E1A3D"/>
    <w:rsid w:val="001E2DDA"/>
    <w:rsid w:val="001E5D79"/>
    <w:rsid w:val="001E61C6"/>
    <w:rsid w:val="001E75A8"/>
    <w:rsid w:val="001F0DBA"/>
    <w:rsid w:val="001F1BBB"/>
    <w:rsid w:val="001F779C"/>
    <w:rsid w:val="00202743"/>
    <w:rsid w:val="002038BF"/>
    <w:rsid w:val="0020442F"/>
    <w:rsid w:val="002048DF"/>
    <w:rsid w:val="00206718"/>
    <w:rsid w:val="00211BEC"/>
    <w:rsid w:val="00211C80"/>
    <w:rsid w:val="002163A2"/>
    <w:rsid w:val="002211D5"/>
    <w:rsid w:val="002370F8"/>
    <w:rsid w:val="00242A71"/>
    <w:rsid w:val="00242CFF"/>
    <w:rsid w:val="00243AEC"/>
    <w:rsid w:val="00245EC4"/>
    <w:rsid w:val="002468B9"/>
    <w:rsid w:val="00247508"/>
    <w:rsid w:val="00252222"/>
    <w:rsid w:val="002577C7"/>
    <w:rsid w:val="00264A0F"/>
    <w:rsid w:val="00264CF3"/>
    <w:rsid w:val="00266F7A"/>
    <w:rsid w:val="00267C69"/>
    <w:rsid w:val="00274011"/>
    <w:rsid w:val="00280221"/>
    <w:rsid w:val="0028038A"/>
    <w:rsid w:val="00281CAF"/>
    <w:rsid w:val="00283270"/>
    <w:rsid w:val="00285994"/>
    <w:rsid w:val="00297DFD"/>
    <w:rsid w:val="002A139F"/>
    <w:rsid w:val="002A2D55"/>
    <w:rsid w:val="002A6E1E"/>
    <w:rsid w:val="002B08F0"/>
    <w:rsid w:val="002B1247"/>
    <w:rsid w:val="002B1485"/>
    <w:rsid w:val="002C246E"/>
    <w:rsid w:val="002C4B5F"/>
    <w:rsid w:val="002D6487"/>
    <w:rsid w:val="002D6682"/>
    <w:rsid w:val="002D7CC7"/>
    <w:rsid w:val="002E71DC"/>
    <w:rsid w:val="002F0AAD"/>
    <w:rsid w:val="002F629E"/>
    <w:rsid w:val="003032A3"/>
    <w:rsid w:val="0030578E"/>
    <w:rsid w:val="003314B5"/>
    <w:rsid w:val="00332675"/>
    <w:rsid w:val="0033274D"/>
    <w:rsid w:val="00335BF6"/>
    <w:rsid w:val="00340AAD"/>
    <w:rsid w:val="003525D8"/>
    <w:rsid w:val="0036372E"/>
    <w:rsid w:val="00366C3C"/>
    <w:rsid w:val="0036771D"/>
    <w:rsid w:val="00373082"/>
    <w:rsid w:val="00375369"/>
    <w:rsid w:val="003759B6"/>
    <w:rsid w:val="00384637"/>
    <w:rsid w:val="00384764"/>
    <w:rsid w:val="003A433C"/>
    <w:rsid w:val="003A500B"/>
    <w:rsid w:val="003A6CBB"/>
    <w:rsid w:val="003B4598"/>
    <w:rsid w:val="003C2888"/>
    <w:rsid w:val="003D118A"/>
    <w:rsid w:val="003D5CFC"/>
    <w:rsid w:val="003E09A8"/>
    <w:rsid w:val="003E3CD1"/>
    <w:rsid w:val="003E7192"/>
    <w:rsid w:val="003E75B1"/>
    <w:rsid w:val="003F00CD"/>
    <w:rsid w:val="003F0BA3"/>
    <w:rsid w:val="003F53E0"/>
    <w:rsid w:val="00405284"/>
    <w:rsid w:val="00414F41"/>
    <w:rsid w:val="00436D33"/>
    <w:rsid w:val="004415B4"/>
    <w:rsid w:val="0044220D"/>
    <w:rsid w:val="00444021"/>
    <w:rsid w:val="00461656"/>
    <w:rsid w:val="00461E58"/>
    <w:rsid w:val="00463A42"/>
    <w:rsid w:val="00465671"/>
    <w:rsid w:val="0047352C"/>
    <w:rsid w:val="00476FD4"/>
    <w:rsid w:val="00480C2A"/>
    <w:rsid w:val="004815AC"/>
    <w:rsid w:val="0048601B"/>
    <w:rsid w:val="0049004C"/>
    <w:rsid w:val="00493338"/>
    <w:rsid w:val="00497CB9"/>
    <w:rsid w:val="004A0133"/>
    <w:rsid w:val="004A10FE"/>
    <w:rsid w:val="004A52B8"/>
    <w:rsid w:val="004A58A3"/>
    <w:rsid w:val="004B23FC"/>
    <w:rsid w:val="004B449D"/>
    <w:rsid w:val="004B5602"/>
    <w:rsid w:val="004B6B0E"/>
    <w:rsid w:val="004C2E24"/>
    <w:rsid w:val="004D0B4A"/>
    <w:rsid w:val="004D55DD"/>
    <w:rsid w:val="004E63F1"/>
    <w:rsid w:val="004E7160"/>
    <w:rsid w:val="004F0A0C"/>
    <w:rsid w:val="004F2DF7"/>
    <w:rsid w:val="004F4073"/>
    <w:rsid w:val="004F772B"/>
    <w:rsid w:val="00515B77"/>
    <w:rsid w:val="0051719A"/>
    <w:rsid w:val="00526230"/>
    <w:rsid w:val="00526F6C"/>
    <w:rsid w:val="005278E9"/>
    <w:rsid w:val="0054055D"/>
    <w:rsid w:val="00541047"/>
    <w:rsid w:val="00547E13"/>
    <w:rsid w:val="00552C26"/>
    <w:rsid w:val="0055639F"/>
    <w:rsid w:val="0056155E"/>
    <w:rsid w:val="005619D1"/>
    <w:rsid w:val="00563D81"/>
    <w:rsid w:val="00564D04"/>
    <w:rsid w:val="005652D9"/>
    <w:rsid w:val="00572BC0"/>
    <w:rsid w:val="00573718"/>
    <w:rsid w:val="00576C0D"/>
    <w:rsid w:val="00583A52"/>
    <w:rsid w:val="00586A39"/>
    <w:rsid w:val="00591BF6"/>
    <w:rsid w:val="00594C6D"/>
    <w:rsid w:val="00594D6C"/>
    <w:rsid w:val="005956A6"/>
    <w:rsid w:val="005B27A1"/>
    <w:rsid w:val="005B2D31"/>
    <w:rsid w:val="005B3AE6"/>
    <w:rsid w:val="005B3FB6"/>
    <w:rsid w:val="005B4E5C"/>
    <w:rsid w:val="005B6AF9"/>
    <w:rsid w:val="005B6EB9"/>
    <w:rsid w:val="005C43A4"/>
    <w:rsid w:val="005C43CC"/>
    <w:rsid w:val="005C4CDC"/>
    <w:rsid w:val="005C5E7C"/>
    <w:rsid w:val="005D498F"/>
    <w:rsid w:val="005E1421"/>
    <w:rsid w:val="005E753D"/>
    <w:rsid w:val="00603A0B"/>
    <w:rsid w:val="00604711"/>
    <w:rsid w:val="006073D8"/>
    <w:rsid w:val="00614E3A"/>
    <w:rsid w:val="006154CC"/>
    <w:rsid w:val="00617024"/>
    <w:rsid w:val="00620FE6"/>
    <w:rsid w:val="00623E33"/>
    <w:rsid w:val="006302C7"/>
    <w:rsid w:val="006339EE"/>
    <w:rsid w:val="00634829"/>
    <w:rsid w:val="00635885"/>
    <w:rsid w:val="006370C4"/>
    <w:rsid w:val="006520E0"/>
    <w:rsid w:val="006542AB"/>
    <w:rsid w:val="00671F68"/>
    <w:rsid w:val="00672ABC"/>
    <w:rsid w:val="00677EC3"/>
    <w:rsid w:val="00680315"/>
    <w:rsid w:val="00683040"/>
    <w:rsid w:val="00687B52"/>
    <w:rsid w:val="006914B9"/>
    <w:rsid w:val="0069320B"/>
    <w:rsid w:val="006A0EFC"/>
    <w:rsid w:val="006A1B07"/>
    <w:rsid w:val="006A277D"/>
    <w:rsid w:val="006A6643"/>
    <w:rsid w:val="006B5785"/>
    <w:rsid w:val="006B73EF"/>
    <w:rsid w:val="006C57F4"/>
    <w:rsid w:val="006C5951"/>
    <w:rsid w:val="006D349F"/>
    <w:rsid w:val="006D5E52"/>
    <w:rsid w:val="006E01C2"/>
    <w:rsid w:val="006E06A0"/>
    <w:rsid w:val="006E091B"/>
    <w:rsid w:val="006E71E0"/>
    <w:rsid w:val="00704A0E"/>
    <w:rsid w:val="00713C92"/>
    <w:rsid w:val="007148B2"/>
    <w:rsid w:val="00730A84"/>
    <w:rsid w:val="00731029"/>
    <w:rsid w:val="0073260F"/>
    <w:rsid w:val="00733756"/>
    <w:rsid w:val="0073693E"/>
    <w:rsid w:val="00743CC7"/>
    <w:rsid w:val="007457A4"/>
    <w:rsid w:val="00750094"/>
    <w:rsid w:val="00757A49"/>
    <w:rsid w:val="007653BF"/>
    <w:rsid w:val="007750F7"/>
    <w:rsid w:val="007763E8"/>
    <w:rsid w:val="007922FD"/>
    <w:rsid w:val="00795E56"/>
    <w:rsid w:val="00797376"/>
    <w:rsid w:val="007A089E"/>
    <w:rsid w:val="007A0A1F"/>
    <w:rsid w:val="007A2ACF"/>
    <w:rsid w:val="007B3D0C"/>
    <w:rsid w:val="007B494C"/>
    <w:rsid w:val="007C4179"/>
    <w:rsid w:val="007C6CA7"/>
    <w:rsid w:val="007E72A5"/>
    <w:rsid w:val="00803CEB"/>
    <w:rsid w:val="00805EEF"/>
    <w:rsid w:val="008065C3"/>
    <w:rsid w:val="00806A7B"/>
    <w:rsid w:val="00814387"/>
    <w:rsid w:val="008153EC"/>
    <w:rsid w:val="008256FB"/>
    <w:rsid w:val="008277C4"/>
    <w:rsid w:val="00832F14"/>
    <w:rsid w:val="00845387"/>
    <w:rsid w:val="00846040"/>
    <w:rsid w:val="00851DE3"/>
    <w:rsid w:val="008526E9"/>
    <w:rsid w:val="00854E88"/>
    <w:rsid w:val="00862334"/>
    <w:rsid w:val="00863B3E"/>
    <w:rsid w:val="0086440A"/>
    <w:rsid w:val="008647DB"/>
    <w:rsid w:val="008729AC"/>
    <w:rsid w:val="00874ABD"/>
    <w:rsid w:val="008828E6"/>
    <w:rsid w:val="00884E78"/>
    <w:rsid w:val="0088709B"/>
    <w:rsid w:val="00896DAC"/>
    <w:rsid w:val="008A3F75"/>
    <w:rsid w:val="008A6161"/>
    <w:rsid w:val="008C4C76"/>
    <w:rsid w:val="008C72B9"/>
    <w:rsid w:val="008D1F35"/>
    <w:rsid w:val="008D7EA1"/>
    <w:rsid w:val="008E027A"/>
    <w:rsid w:val="008E13DD"/>
    <w:rsid w:val="008E3B23"/>
    <w:rsid w:val="008F2CDF"/>
    <w:rsid w:val="00902CF5"/>
    <w:rsid w:val="00905D20"/>
    <w:rsid w:val="00906280"/>
    <w:rsid w:val="00915706"/>
    <w:rsid w:val="00923F76"/>
    <w:rsid w:val="009319DD"/>
    <w:rsid w:val="0093367C"/>
    <w:rsid w:val="009343C1"/>
    <w:rsid w:val="00942324"/>
    <w:rsid w:val="00942E96"/>
    <w:rsid w:val="00952E30"/>
    <w:rsid w:val="00955E25"/>
    <w:rsid w:val="00963DC2"/>
    <w:rsid w:val="0096688B"/>
    <w:rsid w:val="00967281"/>
    <w:rsid w:val="00981422"/>
    <w:rsid w:val="0098268A"/>
    <w:rsid w:val="00982BB1"/>
    <w:rsid w:val="00991AAA"/>
    <w:rsid w:val="009A1850"/>
    <w:rsid w:val="009A41B2"/>
    <w:rsid w:val="009A46A7"/>
    <w:rsid w:val="009A68D5"/>
    <w:rsid w:val="009A75D7"/>
    <w:rsid w:val="009B024B"/>
    <w:rsid w:val="009B1B62"/>
    <w:rsid w:val="009B5900"/>
    <w:rsid w:val="009B6CDC"/>
    <w:rsid w:val="009E255C"/>
    <w:rsid w:val="009E3A16"/>
    <w:rsid w:val="009E45BA"/>
    <w:rsid w:val="009E6540"/>
    <w:rsid w:val="009E7E4F"/>
    <w:rsid w:val="009F03E0"/>
    <w:rsid w:val="009F08FA"/>
    <w:rsid w:val="009F3052"/>
    <w:rsid w:val="009F4767"/>
    <w:rsid w:val="009F5E3D"/>
    <w:rsid w:val="009F602B"/>
    <w:rsid w:val="00A0054C"/>
    <w:rsid w:val="00A00876"/>
    <w:rsid w:val="00A01CFD"/>
    <w:rsid w:val="00A026D3"/>
    <w:rsid w:val="00A06EDF"/>
    <w:rsid w:val="00A121AD"/>
    <w:rsid w:val="00A13312"/>
    <w:rsid w:val="00A2330E"/>
    <w:rsid w:val="00A32CC1"/>
    <w:rsid w:val="00A34152"/>
    <w:rsid w:val="00A34490"/>
    <w:rsid w:val="00A347BC"/>
    <w:rsid w:val="00A40838"/>
    <w:rsid w:val="00A4172D"/>
    <w:rsid w:val="00A44C1A"/>
    <w:rsid w:val="00A46094"/>
    <w:rsid w:val="00A474B2"/>
    <w:rsid w:val="00A50B22"/>
    <w:rsid w:val="00A5173B"/>
    <w:rsid w:val="00A52324"/>
    <w:rsid w:val="00A54B34"/>
    <w:rsid w:val="00A66F89"/>
    <w:rsid w:val="00A7265C"/>
    <w:rsid w:val="00A757F7"/>
    <w:rsid w:val="00A8161B"/>
    <w:rsid w:val="00A86387"/>
    <w:rsid w:val="00AA53DD"/>
    <w:rsid w:val="00AA5BBD"/>
    <w:rsid w:val="00AB1FD0"/>
    <w:rsid w:val="00AB2680"/>
    <w:rsid w:val="00AB7DD6"/>
    <w:rsid w:val="00AC1B9F"/>
    <w:rsid w:val="00AC1DE0"/>
    <w:rsid w:val="00AC1E6A"/>
    <w:rsid w:val="00AC59EB"/>
    <w:rsid w:val="00AC64C6"/>
    <w:rsid w:val="00AD427E"/>
    <w:rsid w:val="00AE00CA"/>
    <w:rsid w:val="00AE11F2"/>
    <w:rsid w:val="00AE299B"/>
    <w:rsid w:val="00AF2A31"/>
    <w:rsid w:val="00AF356D"/>
    <w:rsid w:val="00AF6A1F"/>
    <w:rsid w:val="00AF731E"/>
    <w:rsid w:val="00AF78CD"/>
    <w:rsid w:val="00B0388D"/>
    <w:rsid w:val="00B11664"/>
    <w:rsid w:val="00B13828"/>
    <w:rsid w:val="00B277CF"/>
    <w:rsid w:val="00B352B6"/>
    <w:rsid w:val="00B36ABE"/>
    <w:rsid w:val="00B4040A"/>
    <w:rsid w:val="00B419CF"/>
    <w:rsid w:val="00B44953"/>
    <w:rsid w:val="00B45A31"/>
    <w:rsid w:val="00B46839"/>
    <w:rsid w:val="00B46F26"/>
    <w:rsid w:val="00B51689"/>
    <w:rsid w:val="00B54920"/>
    <w:rsid w:val="00B5615E"/>
    <w:rsid w:val="00B57CEE"/>
    <w:rsid w:val="00B60786"/>
    <w:rsid w:val="00B611E0"/>
    <w:rsid w:val="00B6162C"/>
    <w:rsid w:val="00B67873"/>
    <w:rsid w:val="00B747AF"/>
    <w:rsid w:val="00B76922"/>
    <w:rsid w:val="00B77266"/>
    <w:rsid w:val="00B8019B"/>
    <w:rsid w:val="00B80D1F"/>
    <w:rsid w:val="00B84542"/>
    <w:rsid w:val="00B90EE2"/>
    <w:rsid w:val="00B96C27"/>
    <w:rsid w:val="00B96D2D"/>
    <w:rsid w:val="00BA0340"/>
    <w:rsid w:val="00BA1A60"/>
    <w:rsid w:val="00BA34CB"/>
    <w:rsid w:val="00BA37FB"/>
    <w:rsid w:val="00BA3899"/>
    <w:rsid w:val="00BA57A4"/>
    <w:rsid w:val="00BA581D"/>
    <w:rsid w:val="00BB42A4"/>
    <w:rsid w:val="00BB6025"/>
    <w:rsid w:val="00BB6118"/>
    <w:rsid w:val="00BB7855"/>
    <w:rsid w:val="00BC04AF"/>
    <w:rsid w:val="00BC7E7C"/>
    <w:rsid w:val="00BD7E94"/>
    <w:rsid w:val="00BE5D33"/>
    <w:rsid w:val="00BF6FCE"/>
    <w:rsid w:val="00C01272"/>
    <w:rsid w:val="00C07DDB"/>
    <w:rsid w:val="00C130A0"/>
    <w:rsid w:val="00C223B9"/>
    <w:rsid w:val="00C2727D"/>
    <w:rsid w:val="00C275EA"/>
    <w:rsid w:val="00C3776C"/>
    <w:rsid w:val="00C466FA"/>
    <w:rsid w:val="00C5055D"/>
    <w:rsid w:val="00C54FF8"/>
    <w:rsid w:val="00C6206A"/>
    <w:rsid w:val="00C64B85"/>
    <w:rsid w:val="00C8001A"/>
    <w:rsid w:val="00C83449"/>
    <w:rsid w:val="00C835F9"/>
    <w:rsid w:val="00C85F65"/>
    <w:rsid w:val="00C87AC7"/>
    <w:rsid w:val="00C900EC"/>
    <w:rsid w:val="00CB10D8"/>
    <w:rsid w:val="00CB45AE"/>
    <w:rsid w:val="00CB5360"/>
    <w:rsid w:val="00CB59ED"/>
    <w:rsid w:val="00CC2532"/>
    <w:rsid w:val="00CD14B1"/>
    <w:rsid w:val="00CD195E"/>
    <w:rsid w:val="00CD2CF3"/>
    <w:rsid w:val="00CD4E2B"/>
    <w:rsid w:val="00CD5A04"/>
    <w:rsid w:val="00CE627C"/>
    <w:rsid w:val="00CE64E1"/>
    <w:rsid w:val="00CF393D"/>
    <w:rsid w:val="00CF7405"/>
    <w:rsid w:val="00D010C8"/>
    <w:rsid w:val="00D12CCE"/>
    <w:rsid w:val="00D21E32"/>
    <w:rsid w:val="00D24CF9"/>
    <w:rsid w:val="00D27151"/>
    <w:rsid w:val="00D3385C"/>
    <w:rsid w:val="00D45721"/>
    <w:rsid w:val="00D46C9D"/>
    <w:rsid w:val="00D470AA"/>
    <w:rsid w:val="00D53F23"/>
    <w:rsid w:val="00D54819"/>
    <w:rsid w:val="00D54E39"/>
    <w:rsid w:val="00D55FE5"/>
    <w:rsid w:val="00D628D8"/>
    <w:rsid w:val="00D62B6E"/>
    <w:rsid w:val="00D707A5"/>
    <w:rsid w:val="00D749BA"/>
    <w:rsid w:val="00D80ACD"/>
    <w:rsid w:val="00D80E1D"/>
    <w:rsid w:val="00D93ECA"/>
    <w:rsid w:val="00DB4135"/>
    <w:rsid w:val="00DB5243"/>
    <w:rsid w:val="00DC6ED2"/>
    <w:rsid w:val="00DC7532"/>
    <w:rsid w:val="00DD4208"/>
    <w:rsid w:val="00DD5F35"/>
    <w:rsid w:val="00DE03B6"/>
    <w:rsid w:val="00DE0B3C"/>
    <w:rsid w:val="00DE5D18"/>
    <w:rsid w:val="00DF2CE8"/>
    <w:rsid w:val="00DF76D8"/>
    <w:rsid w:val="00E01A43"/>
    <w:rsid w:val="00E0375B"/>
    <w:rsid w:val="00E03E60"/>
    <w:rsid w:val="00E078B6"/>
    <w:rsid w:val="00E12144"/>
    <w:rsid w:val="00E15473"/>
    <w:rsid w:val="00E30435"/>
    <w:rsid w:val="00E3179D"/>
    <w:rsid w:val="00E31FBD"/>
    <w:rsid w:val="00E36695"/>
    <w:rsid w:val="00E37318"/>
    <w:rsid w:val="00E40AC3"/>
    <w:rsid w:val="00E40EE8"/>
    <w:rsid w:val="00E41203"/>
    <w:rsid w:val="00E4244B"/>
    <w:rsid w:val="00E454E9"/>
    <w:rsid w:val="00E4771D"/>
    <w:rsid w:val="00E503DF"/>
    <w:rsid w:val="00E56778"/>
    <w:rsid w:val="00E56870"/>
    <w:rsid w:val="00E62040"/>
    <w:rsid w:val="00E65D8E"/>
    <w:rsid w:val="00E6608F"/>
    <w:rsid w:val="00E70671"/>
    <w:rsid w:val="00E8012A"/>
    <w:rsid w:val="00E808BA"/>
    <w:rsid w:val="00E80C9D"/>
    <w:rsid w:val="00E85A86"/>
    <w:rsid w:val="00E9397A"/>
    <w:rsid w:val="00E94B70"/>
    <w:rsid w:val="00E9653A"/>
    <w:rsid w:val="00E96600"/>
    <w:rsid w:val="00E97362"/>
    <w:rsid w:val="00EA03E1"/>
    <w:rsid w:val="00EA15AB"/>
    <w:rsid w:val="00EA1892"/>
    <w:rsid w:val="00EA6044"/>
    <w:rsid w:val="00EA677B"/>
    <w:rsid w:val="00EA7AC5"/>
    <w:rsid w:val="00EC0689"/>
    <w:rsid w:val="00EC0F31"/>
    <w:rsid w:val="00EC5C0F"/>
    <w:rsid w:val="00EC64CE"/>
    <w:rsid w:val="00EC75E3"/>
    <w:rsid w:val="00EC7CD9"/>
    <w:rsid w:val="00ED1215"/>
    <w:rsid w:val="00ED46F5"/>
    <w:rsid w:val="00EE4EBE"/>
    <w:rsid w:val="00EE7E7A"/>
    <w:rsid w:val="00EF53B9"/>
    <w:rsid w:val="00EF6FC3"/>
    <w:rsid w:val="00EF7178"/>
    <w:rsid w:val="00F063D6"/>
    <w:rsid w:val="00F11E85"/>
    <w:rsid w:val="00F13C16"/>
    <w:rsid w:val="00F21BB2"/>
    <w:rsid w:val="00F3046C"/>
    <w:rsid w:val="00F31AAA"/>
    <w:rsid w:val="00F326B2"/>
    <w:rsid w:val="00F41A44"/>
    <w:rsid w:val="00F44BE1"/>
    <w:rsid w:val="00F50061"/>
    <w:rsid w:val="00F567A7"/>
    <w:rsid w:val="00F635AB"/>
    <w:rsid w:val="00F64F06"/>
    <w:rsid w:val="00F72222"/>
    <w:rsid w:val="00F74604"/>
    <w:rsid w:val="00F85134"/>
    <w:rsid w:val="00F8583E"/>
    <w:rsid w:val="00F87C14"/>
    <w:rsid w:val="00F95DD0"/>
    <w:rsid w:val="00FB4DCF"/>
    <w:rsid w:val="00FB5A31"/>
    <w:rsid w:val="00FD356D"/>
    <w:rsid w:val="00FD4A57"/>
    <w:rsid w:val="00FD4F4C"/>
    <w:rsid w:val="00FD572A"/>
    <w:rsid w:val="00FE1BC7"/>
    <w:rsid w:val="00FE362E"/>
    <w:rsid w:val="00FE3922"/>
    <w:rsid w:val="00FF4AC3"/>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90EE2"/>
    <w:pPr>
      <w:autoSpaceDE w:val="0"/>
      <w:autoSpaceDN w:val="0"/>
      <w:adjustRightInd w:val="0"/>
    </w:pPr>
    <w:rPr>
      <w:color w:val="000000"/>
      <w:sz w:val="24"/>
      <w:szCs w:val="24"/>
    </w:rPr>
  </w:style>
  <w:style w:type="character" w:customStyle="1" w:styleId="markedcontent">
    <w:name w:val="markedcontent"/>
    <w:basedOn w:val="DefaultParagraphFont"/>
    <w:rsid w:val="005C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922686203">
      <w:bodyDiv w:val="1"/>
      <w:marLeft w:val="0"/>
      <w:marRight w:val="0"/>
      <w:marTop w:val="0"/>
      <w:marBottom w:val="0"/>
      <w:divBdr>
        <w:top w:val="none" w:sz="0" w:space="0" w:color="auto"/>
        <w:left w:val="none" w:sz="0" w:space="0" w:color="auto"/>
        <w:bottom w:val="none" w:sz="0" w:space="0" w:color="auto"/>
        <w:right w:val="none" w:sz="0" w:space="0" w:color="auto"/>
      </w:divBdr>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 w:id="16551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ghspictograms/" TargetMode="External"/><Relationship Id="rId13" Type="http://schemas.openxmlformats.org/officeDocument/2006/relationships/image" Target="media/image5.jpeg"/><Relationship Id="rId18" Type="http://schemas.openxmlformats.org/officeDocument/2006/relationships/hyperlink" Target="https://ehs.wsu.edu/chemical-waste/chemical-waste-identification/es-acutelyhazardouswast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iosafety.wsu.edu/contact/" TargetMode="External"/><Relationship Id="rId12" Type="http://schemas.openxmlformats.org/officeDocument/2006/relationships/image" Target="media/image4.jpeg"/><Relationship Id="rId17" Type="http://schemas.openxmlformats.org/officeDocument/2006/relationships/hyperlink" Target="https://ehs.wsu.edu/es-AcutelyHazardousWaste/" TargetMode="External"/><Relationship Id="rId2" Type="http://schemas.openxmlformats.org/officeDocument/2006/relationships/styles" Target="styles.xml"/><Relationship Id="rId16" Type="http://schemas.openxmlformats.org/officeDocument/2006/relationships/hyperlink" Target="https://ehs.wsu.edu/ohs-chemhazardcommunication/ohs-workplacelabels/" TargetMode="External"/><Relationship Id="rId20"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2006-08-31T21:46:00Z</cp:lastPrinted>
  <dcterms:created xsi:type="dcterms:W3CDTF">2023-04-20T17:23:00Z</dcterms:created>
  <dcterms:modified xsi:type="dcterms:W3CDTF">2023-04-20T17:23:00Z</dcterms:modified>
</cp:coreProperties>
</file>