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color w:val="a42129"/>
          <w:sz w:val="62"/>
          <w:szCs w:val="62"/>
        </w:rPr>
      </w:pPr>
      <w:r w:rsidDel="00000000" w:rsidR="00000000" w:rsidRPr="00000000">
        <w:rPr>
          <w:color w:val="a42129"/>
          <w:sz w:val="62"/>
          <w:szCs w:val="62"/>
        </w:rPr>
        <w:drawing>
          <wp:inline distB="114300" distT="114300" distL="114300" distR="114300">
            <wp:extent cx="5943600" cy="1244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color w:val="a42129"/>
          <w:sz w:val="58"/>
          <w:szCs w:val="58"/>
        </w:rPr>
      </w:pPr>
      <w:r w:rsidDel="00000000" w:rsidR="00000000" w:rsidRPr="00000000">
        <w:rPr>
          <w:color w:val="a42129"/>
          <w:sz w:val="58"/>
          <w:szCs w:val="58"/>
          <w:rtl w:val="0"/>
        </w:rPr>
        <w:t xml:space="preserve">Supplemental Guide for Writing Digital Equity Community Action Plans</w:t>
      </w:r>
    </w:p>
    <w:p w:rsidR="00000000" w:rsidDel="00000000" w:rsidP="00000000" w:rsidRDefault="00000000" w:rsidRPr="00000000" w14:paraId="00000003">
      <w:pPr>
        <w:spacing w:line="240" w:lineRule="auto"/>
        <w:rPr>
          <w:i w:val="1"/>
          <w:color w:val="a42129"/>
          <w:sz w:val="34"/>
          <w:szCs w:val="34"/>
        </w:rPr>
      </w:pPr>
      <w:r w:rsidDel="00000000" w:rsidR="00000000" w:rsidRPr="00000000">
        <w:rPr>
          <w:color w:val="a42129"/>
          <w:sz w:val="62"/>
          <w:szCs w:val="62"/>
          <w:rtl w:val="0"/>
        </w:rPr>
        <w:t xml:space="preserve"> </w:t>
      </w:r>
      <w:r w:rsidDel="00000000" w:rsidR="00000000" w:rsidRPr="00000000">
        <w:rPr>
          <w:rtl w:val="0"/>
        </w:rPr>
      </w:r>
    </w:p>
    <w:p w:rsidR="00000000" w:rsidDel="00000000" w:rsidP="00000000" w:rsidRDefault="00000000" w:rsidRPr="00000000" w14:paraId="00000004">
      <w:pPr>
        <w:spacing w:line="276" w:lineRule="auto"/>
        <w:rPr>
          <w:i w:val="1"/>
          <w:color w:val="a42129"/>
          <w:sz w:val="34"/>
          <w:szCs w:val="34"/>
        </w:rPr>
      </w:pPr>
      <w:r w:rsidDel="00000000" w:rsidR="00000000" w:rsidRPr="00000000">
        <w:rPr>
          <w:i w:val="1"/>
          <w:color w:val="a42129"/>
          <w:sz w:val="34"/>
          <w:szCs w:val="34"/>
          <w:rtl w:val="0"/>
        </w:rPr>
        <w:t xml:space="preserve">May 7, 2023</w:t>
      </w:r>
    </w:p>
    <w:p w:rsidR="00000000" w:rsidDel="00000000" w:rsidP="00000000" w:rsidRDefault="00000000" w:rsidRPr="00000000" w14:paraId="00000005">
      <w:pPr>
        <w:pStyle w:val="Heading1"/>
        <w:spacing w:line="276" w:lineRule="auto"/>
        <w:rPr/>
      </w:pPr>
      <w:bookmarkStart w:colFirst="0" w:colLast="0" w:name="_gjdgxs" w:id="0"/>
      <w:bookmarkEnd w:id="0"/>
      <w:r w:rsidDel="00000000" w:rsidR="00000000" w:rsidRPr="00000000">
        <w:rPr>
          <w:rtl w:val="0"/>
        </w:rPr>
        <w:t xml:space="preserve">Table of Contents </w:t>
      </w:r>
    </w:p>
    <w:p w:rsidR="00000000" w:rsidDel="00000000" w:rsidP="00000000" w:rsidRDefault="00000000" w:rsidRPr="00000000" w14:paraId="00000006">
      <w:pPr>
        <w:spacing w:line="276" w:lineRule="auto"/>
        <w:rPr>
          <w:i w:val="1"/>
          <w:color w:val="000000"/>
          <w:sz w:val="24"/>
          <w:szCs w:val="24"/>
        </w:rPr>
      </w:pPr>
      <w:r w:rsidDel="00000000" w:rsidR="00000000" w:rsidRPr="00000000">
        <w:rPr>
          <w:i w:val="1"/>
          <w:rtl w:val="0"/>
        </w:rPr>
        <w:t xml:space="preserve">Click to navigate when viewed on a computer:</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after="0" w:before="60" w:line="240" w:lineRule="auto"/>
            <w:rPr>
              <w:b w:val="1"/>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b w:val="1"/>
                <w:i w:val="0"/>
                <w:smallCaps w:val="0"/>
                <w:strike w:val="0"/>
                <w:color w:val="000000"/>
                <w:u w:val="none"/>
                <w:shd w:fill="auto" w:val="clear"/>
                <w:vertAlign w:val="baseline"/>
                <w:rtl w:val="0"/>
              </w:rPr>
              <w:t xml:space="preserve">Table of Contents</w:t>
              <w:tab/>
              <w:t xml:space="preserve">1</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rPr>
              <w:b w:val="1"/>
              <w:i w:val="0"/>
              <w:smallCaps w:val="0"/>
              <w:strike w:val="0"/>
              <w:color w:val="000000"/>
              <w:u w:val="none"/>
              <w:shd w:fill="auto" w:val="clear"/>
              <w:vertAlign w:val="baseline"/>
            </w:rPr>
          </w:pPr>
          <w:hyperlink w:anchor="_30j0zll">
            <w:r w:rsidDel="00000000" w:rsidR="00000000" w:rsidRPr="00000000">
              <w:rPr>
                <w:b w:val="1"/>
                <w:i w:val="0"/>
                <w:smallCaps w:val="0"/>
                <w:strike w:val="0"/>
                <w:color w:val="000000"/>
                <w:u w:val="none"/>
                <w:shd w:fill="auto" w:val="clear"/>
                <w:vertAlign w:val="baseline"/>
                <w:rtl w:val="0"/>
              </w:rPr>
              <w:t xml:space="preserve">Digital Equity Data Sources and Definitions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rPr>
              <w:b w:val="1"/>
              <w:i w:val="0"/>
              <w:smallCaps w:val="0"/>
              <w:strike w:val="0"/>
              <w:color w:val="000000"/>
              <w:u w:val="none"/>
              <w:shd w:fill="auto" w:val="clear"/>
              <w:vertAlign w:val="baseline"/>
            </w:rPr>
          </w:pPr>
          <w:hyperlink w:anchor="_1fob9te">
            <w:r w:rsidDel="00000000" w:rsidR="00000000" w:rsidRPr="00000000">
              <w:rPr>
                <w:b w:val="1"/>
                <w:i w:val="0"/>
                <w:smallCaps w:val="0"/>
                <w:strike w:val="0"/>
                <w:color w:val="000000"/>
                <w:u w:val="none"/>
                <w:shd w:fill="auto" w:val="clear"/>
                <w:vertAlign w:val="baseline"/>
                <w:rtl w:val="0"/>
              </w:rPr>
              <w:t xml:space="preserve">Aim for progress, not perfection: Analytic Guidance for Digital Equity Planning in this Process</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rPr>
              <w:b w:val="1"/>
              <w:i w:val="0"/>
              <w:smallCaps w:val="0"/>
              <w:strike w:val="0"/>
              <w:color w:val="000000"/>
              <w:u w:val="none"/>
              <w:shd w:fill="auto" w:val="clear"/>
              <w:vertAlign w:val="baseline"/>
            </w:rPr>
          </w:pPr>
          <w:hyperlink w:anchor="_2et92p0">
            <w:r w:rsidDel="00000000" w:rsidR="00000000" w:rsidRPr="00000000">
              <w:rPr>
                <w:b w:val="1"/>
                <w:i w:val="0"/>
                <w:smallCaps w:val="0"/>
                <w:strike w:val="0"/>
                <w:color w:val="000000"/>
                <w:u w:val="none"/>
                <w:shd w:fill="auto" w:val="clear"/>
                <w:vertAlign w:val="baseline"/>
                <w:rtl w:val="0"/>
              </w:rPr>
              <w:t xml:space="preserve">Covered Populations</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rPr>
              <w:b w:val="1"/>
              <w:i w:val="0"/>
              <w:smallCaps w:val="0"/>
              <w:strike w:val="0"/>
              <w:color w:val="000000"/>
              <w:u w:val="none"/>
              <w:shd w:fill="auto" w:val="clear"/>
              <w:vertAlign w:val="baseline"/>
            </w:rPr>
          </w:pPr>
          <w:hyperlink w:anchor="_tyjcwt">
            <w:r w:rsidDel="00000000" w:rsidR="00000000" w:rsidRPr="00000000">
              <w:rPr>
                <w:b w:val="1"/>
                <w:i w:val="0"/>
                <w:smallCaps w:val="0"/>
                <w:strike w:val="0"/>
                <w:color w:val="000000"/>
                <w:u w:val="none"/>
                <w:shd w:fill="auto" w:val="clear"/>
                <w:vertAlign w:val="baseline"/>
                <w:rtl w:val="0"/>
              </w:rPr>
              <w:t xml:space="preserve">Worksheet #15: Digital Equity and Access Needs Assessment</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360" w:firstLine="0"/>
            <w:rPr>
              <w:i w:val="0"/>
              <w:smallCaps w:val="0"/>
              <w:strike w:val="0"/>
              <w:color w:val="000000"/>
              <w:u w:val="none"/>
              <w:shd w:fill="auto" w:val="clear"/>
              <w:vertAlign w:val="baseline"/>
            </w:rPr>
          </w:pPr>
          <w:hyperlink w:anchor="_3dy6vkm">
            <w:r w:rsidDel="00000000" w:rsidR="00000000" w:rsidRPr="00000000">
              <w:rPr>
                <w:i w:val="0"/>
                <w:smallCaps w:val="0"/>
                <w:strike w:val="0"/>
                <w:color w:val="000000"/>
                <w:u w:val="none"/>
                <w:shd w:fill="auto" w:val="clear"/>
                <w:vertAlign w:val="baseline"/>
                <w:rtl w:val="0"/>
              </w:rPr>
              <w:t xml:space="preserve">15.1 Where do there appear to be gaps between available digital equity needs and services? In answering this question, be sure to consider needs and services related to (a) Internet adoption, (b) devices, and (c) skills.</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720" w:firstLine="0"/>
            <w:rPr>
              <w:i w:val="0"/>
              <w:smallCaps w:val="0"/>
              <w:strike w:val="0"/>
              <w:color w:val="000000"/>
              <w:u w:val="none"/>
              <w:shd w:fill="auto" w:val="clear"/>
              <w:vertAlign w:val="baseline"/>
            </w:rPr>
          </w:pPr>
          <w:hyperlink w:anchor="_1t3h5sf">
            <w:r w:rsidDel="00000000" w:rsidR="00000000" w:rsidRPr="00000000">
              <w:rPr>
                <w:i w:val="0"/>
                <w:smallCaps w:val="0"/>
                <w:strike w:val="0"/>
                <w:color w:val="000000"/>
                <w:u w:val="none"/>
                <w:shd w:fill="auto" w:val="clear"/>
                <w:vertAlign w:val="baseline"/>
                <w:rtl w:val="0"/>
              </w:rPr>
              <w:t xml:space="preserve">Socio-demographic gaps in your community</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720" w:firstLine="0"/>
            <w:rPr>
              <w:i w:val="0"/>
              <w:smallCaps w:val="0"/>
              <w:strike w:val="0"/>
              <w:color w:val="000000"/>
              <w:u w:val="none"/>
              <w:shd w:fill="auto" w:val="clear"/>
              <w:vertAlign w:val="baseline"/>
            </w:rPr>
          </w:pPr>
          <w:hyperlink w:anchor="_4d34og8">
            <w:r w:rsidDel="00000000" w:rsidR="00000000" w:rsidRPr="00000000">
              <w:rPr>
                <w:i w:val="0"/>
                <w:smallCaps w:val="0"/>
                <w:strike w:val="0"/>
                <w:color w:val="000000"/>
                <w:u w:val="none"/>
                <w:shd w:fill="auto" w:val="clear"/>
                <w:vertAlign w:val="baseline"/>
                <w:rtl w:val="0"/>
              </w:rPr>
              <w:t xml:space="preserve">Geographic gaps in your community</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720" w:firstLine="0"/>
            <w:rPr>
              <w:i w:val="0"/>
              <w:smallCaps w:val="0"/>
              <w:strike w:val="0"/>
              <w:color w:val="000000"/>
              <w:u w:val="none"/>
              <w:shd w:fill="auto" w:val="clear"/>
              <w:vertAlign w:val="baseline"/>
            </w:rPr>
          </w:pPr>
          <w:hyperlink w:anchor="_2s8eyo1">
            <w:r w:rsidDel="00000000" w:rsidR="00000000" w:rsidRPr="00000000">
              <w:rPr>
                <w:i w:val="0"/>
                <w:smallCaps w:val="0"/>
                <w:strike w:val="0"/>
                <w:color w:val="000000"/>
                <w:u w:val="none"/>
                <w:shd w:fill="auto" w:val="clear"/>
                <w:vertAlign w:val="baseline"/>
                <w:rtl w:val="0"/>
              </w:rPr>
              <w:t xml:space="preserve">Sectoral gaps in your community</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rPr>
              <w:i w:val="0"/>
              <w:smallCaps w:val="0"/>
              <w:strike w:val="0"/>
              <w:color w:val="000000"/>
              <w:u w:val="none"/>
              <w:shd w:fill="auto" w:val="clear"/>
              <w:vertAlign w:val="baseline"/>
            </w:rPr>
          </w:pPr>
          <w:hyperlink w:anchor="_3rdcrjn">
            <w:r w:rsidDel="00000000" w:rsidR="00000000" w:rsidRPr="00000000">
              <w:rPr>
                <w:i w:val="0"/>
                <w:smallCaps w:val="0"/>
                <w:strike w:val="0"/>
                <w:color w:val="000000"/>
                <w:u w:val="none"/>
                <w:shd w:fill="auto" w:val="clear"/>
                <w:vertAlign w:val="baseline"/>
                <w:rtl w:val="0"/>
              </w:rPr>
              <w:t xml:space="preserve">15.2 Which covered populations appear to lack awareness, adoption, or availability of dedicated and/or accessible digital equity services?</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720" w:firstLine="0"/>
            <w:rPr>
              <w:i w:val="0"/>
              <w:smallCaps w:val="0"/>
              <w:strike w:val="0"/>
              <w:color w:val="000000"/>
              <w:u w:val="none"/>
              <w:shd w:fill="auto" w:val="clear"/>
              <w:vertAlign w:val="baseline"/>
            </w:rPr>
          </w:pPr>
          <w:hyperlink w:anchor="_26in1rg">
            <w:r w:rsidDel="00000000" w:rsidR="00000000" w:rsidRPr="00000000">
              <w:rPr>
                <w:rtl w:val="0"/>
              </w:rPr>
              <w:t xml:space="preserve">Types Of Digital Equity Gaps Per Covered Population</w:t>
            </w:r>
          </w:hyperlink>
          <w:hyperlink w:anchor="_26in1rg">
            <w:r w:rsidDel="00000000" w:rsidR="00000000" w:rsidRPr="00000000">
              <w:rPr>
                <w:i w:val="0"/>
                <w:smallCaps w:val="0"/>
                <w:strike w:val="0"/>
                <w:color w:val="00000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rPr>
              <w:i w:val="0"/>
              <w:smallCaps w:val="0"/>
              <w:strike w:val="0"/>
              <w:color w:val="000000"/>
              <w:u w:val="none"/>
              <w:shd w:fill="auto" w:val="clear"/>
              <w:vertAlign w:val="baseline"/>
            </w:rPr>
          </w:pPr>
          <w:hyperlink w:anchor="_lnxbz9">
            <w:r w:rsidDel="00000000" w:rsidR="00000000" w:rsidRPr="00000000">
              <w:rPr>
                <w:i w:val="0"/>
                <w:smallCaps w:val="0"/>
                <w:strike w:val="0"/>
                <w:color w:val="000000"/>
                <w:u w:val="none"/>
                <w:shd w:fill="auto" w:val="clear"/>
                <w:vertAlign w:val="baseline"/>
                <w:rtl w:val="0"/>
              </w:rPr>
              <w:t xml:space="preserve">15.3 Where are the gaps in availability of online safety and privacy training for your community?</w:t>
              <w:tab/>
              <w:t xml:space="preserve">8</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720" w:firstLine="0"/>
            <w:rPr>
              <w:i w:val="0"/>
              <w:smallCaps w:val="0"/>
              <w:strike w:val="0"/>
              <w:color w:val="000000"/>
              <w:u w:val="none"/>
              <w:shd w:fill="auto" w:val="clear"/>
              <w:vertAlign w:val="baseline"/>
            </w:rPr>
          </w:pPr>
          <w:hyperlink w:anchor="_35nkun2">
            <w:r w:rsidDel="00000000" w:rsidR="00000000" w:rsidRPr="00000000">
              <w:rPr>
                <w:i w:val="0"/>
                <w:smallCaps w:val="0"/>
                <w:strike w:val="0"/>
                <w:color w:val="000000"/>
                <w:u w:val="none"/>
                <w:shd w:fill="auto" w:val="clear"/>
                <w:vertAlign w:val="baseline"/>
                <w:rtl w:val="0"/>
              </w:rPr>
              <w:t xml:space="preserve">Examples of digital privacy and safety topics that may be covered in trainings</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i w:val="0"/>
              <w:smallCaps w:val="0"/>
              <w:strike w:val="0"/>
              <w:color w:val="000000"/>
              <w:u w:val="none"/>
              <w:shd w:fill="auto" w:val="clear"/>
              <w:vertAlign w:val="baseline"/>
            </w:rPr>
          </w:pPr>
          <w:hyperlink w:anchor="_1ksv4uv">
            <w:r w:rsidDel="00000000" w:rsidR="00000000" w:rsidRPr="00000000">
              <w:rPr>
                <w:i w:val="0"/>
                <w:smallCaps w:val="0"/>
                <w:strike w:val="0"/>
                <w:color w:val="000000"/>
                <w:u w:val="none"/>
                <w:shd w:fill="auto" w:val="clear"/>
                <w:vertAlign w:val="baseline"/>
                <w:rtl w:val="0"/>
              </w:rPr>
              <w:t xml:space="preserve">15.4 What are the gaps in local online government, community, and cultural services?</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pStyle w:val="Heading1"/>
        <w:spacing w:after="120" w:before="360" w:lineRule="auto"/>
        <w:rPr>
          <w:b w:val="1"/>
          <w:color w:val="212529"/>
        </w:rPr>
      </w:pPr>
      <w:bookmarkStart w:colFirst="0" w:colLast="0" w:name="_30j0zll" w:id="1"/>
      <w:bookmarkEnd w:id="1"/>
      <w:r w:rsidDel="00000000" w:rsidR="00000000" w:rsidRPr="00000000">
        <w:rPr>
          <w:b w:val="1"/>
          <w:color w:val="980000"/>
          <w:rtl w:val="0"/>
        </w:rPr>
        <w:t xml:space="preserve">Digital Equity Data Sources and Definitions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 the </w:t>
      </w:r>
      <w:hyperlink r:id="rId7">
        <w:r w:rsidDel="00000000" w:rsidR="00000000" w:rsidRPr="00000000">
          <w:rPr>
            <w:color w:val="1155cc"/>
            <w:u w:val="single"/>
            <w:rtl w:val="0"/>
          </w:rPr>
          <w:t xml:space="preserve">WSU Extension Digital Equity Planning Support Data Sources</w:t>
        </w:r>
      </w:hyperlink>
      <w:r w:rsidDel="00000000" w:rsidR="00000000" w:rsidRPr="00000000">
        <w:rPr>
          <w:rtl w:val="0"/>
        </w:rPr>
        <w:t xml:space="preserve"> spreadsheet, you will find the following tabs:  a </w:t>
      </w:r>
      <w:hyperlink r:id="rId8">
        <w:r w:rsidDel="00000000" w:rsidR="00000000" w:rsidRPr="00000000">
          <w:rPr>
            <w:color w:val="1155cc"/>
            <w:u w:val="single"/>
            <w:rtl w:val="0"/>
          </w:rPr>
          <w:t xml:space="preserve">data dictionary for the NoaNet Map</w:t>
        </w:r>
      </w:hyperlink>
      <w:r w:rsidDel="00000000" w:rsidR="00000000" w:rsidRPr="00000000">
        <w:rPr>
          <w:rtl w:val="0"/>
        </w:rPr>
        <w:t xml:space="preserve">; </w:t>
      </w:r>
      <w:hyperlink r:id="rId9">
        <w:r w:rsidDel="00000000" w:rsidR="00000000" w:rsidRPr="00000000">
          <w:rPr>
            <w:color w:val="1155cc"/>
            <w:u w:val="single"/>
            <w:rtl w:val="0"/>
          </w:rPr>
          <w:t xml:space="preserve">Covered Population Definitions</w:t>
        </w:r>
      </w:hyperlink>
      <w:r w:rsidDel="00000000" w:rsidR="00000000" w:rsidRPr="00000000">
        <w:rPr>
          <w:rtl w:val="0"/>
        </w:rPr>
        <w:t xml:space="preserve"> (respective to Washington State and Federal guidance); </w:t>
      </w:r>
      <w:hyperlink r:id="rId10">
        <w:r w:rsidDel="00000000" w:rsidR="00000000" w:rsidRPr="00000000">
          <w:rPr>
            <w:color w:val="1155cc"/>
            <w:u w:val="single"/>
            <w:rtl w:val="0"/>
          </w:rPr>
          <w:t xml:space="preserve">Covered Populations by Washington State County</w:t>
        </w:r>
      </w:hyperlink>
      <w:r w:rsidDel="00000000" w:rsidR="00000000" w:rsidRPr="00000000">
        <w:rPr>
          <w:rtl w:val="0"/>
        </w:rPr>
        <w:t xml:space="preserve"> (compiled for you by WSU Extension); </w:t>
      </w:r>
      <w:hyperlink r:id="rId11">
        <w:r w:rsidDel="00000000" w:rsidR="00000000" w:rsidRPr="00000000">
          <w:rPr>
            <w:color w:val="1155cc"/>
            <w:u w:val="single"/>
            <w:rtl w:val="0"/>
          </w:rPr>
          <w:t xml:space="preserve">Key Poverty Measures</w:t>
        </w:r>
      </w:hyperlink>
      <w:r w:rsidDel="00000000" w:rsidR="00000000" w:rsidRPr="00000000">
        <w:rPr>
          <w:rtl w:val="0"/>
        </w:rPr>
        <w:t xml:space="preserve"> used by Different Digital Equity Funders; and a list of</w:t>
      </w:r>
      <w:hyperlink r:id="rId12">
        <w:r w:rsidDel="00000000" w:rsidR="00000000" w:rsidRPr="00000000">
          <w:rPr>
            <w:color w:val="1155cc"/>
            <w:u w:val="single"/>
            <w:rtl w:val="0"/>
          </w:rPr>
          <w:t xml:space="preserve"> Digital Equity Data Sources</w:t>
        </w:r>
      </w:hyperlink>
      <w:r w:rsidDel="00000000" w:rsidR="00000000" w:rsidRPr="00000000">
        <w:rPr>
          <w:rtl w:val="0"/>
        </w:rPr>
        <w:t xml:space="preserve">. </w:t>
      </w:r>
    </w:p>
    <w:p w:rsidR="00000000" w:rsidDel="00000000" w:rsidP="00000000" w:rsidRDefault="00000000" w:rsidRPr="00000000" w14:paraId="00000017">
      <w:pPr>
        <w:pStyle w:val="Heading1"/>
        <w:spacing w:after="120" w:before="360" w:lineRule="auto"/>
        <w:rPr>
          <w:b w:val="1"/>
          <w:color w:val="980000"/>
        </w:rPr>
      </w:pPr>
      <w:bookmarkStart w:colFirst="0" w:colLast="0" w:name="_1fob9te" w:id="2"/>
      <w:bookmarkEnd w:id="2"/>
      <w:r w:rsidDel="00000000" w:rsidR="00000000" w:rsidRPr="00000000">
        <w:rPr>
          <w:b w:val="1"/>
          <w:color w:val="980000"/>
          <w:rtl w:val="0"/>
        </w:rPr>
        <w:t xml:space="preserve">Aim for progress, not perfection: Analytic Guidance for Digital Equity Planning in this Process:</w:t>
      </w:r>
    </w:p>
    <w:p w:rsidR="00000000" w:rsidDel="00000000" w:rsidP="00000000" w:rsidRDefault="00000000" w:rsidRPr="00000000" w14:paraId="00000018">
      <w:pPr>
        <w:numPr>
          <w:ilvl w:val="0"/>
          <w:numId w:val="5"/>
        </w:numPr>
        <w:spacing w:after="0" w:lineRule="auto"/>
        <w:ind w:left="720" w:hanging="360"/>
        <w:rPr>
          <w:sz w:val="22"/>
          <w:szCs w:val="22"/>
        </w:rPr>
      </w:pPr>
      <w:r w:rsidDel="00000000" w:rsidR="00000000" w:rsidRPr="00000000">
        <w:rPr>
          <w:color w:val="414042"/>
          <w:rtl w:val="0"/>
        </w:rPr>
        <w:t xml:space="preserve">There is a learning curve and substantive amount of work involved in Digital Equity assessment. It needs to be acknowledged that many of us are at the beginning of the journey as this is the first time many of us have investigated the specific digital equity issues in the detail suggested by NTIA, IIJA, and Washington State’s Digital Equity Act (HB 1723). </w:t>
      </w:r>
      <w:r w:rsidDel="00000000" w:rsidR="00000000" w:rsidRPr="00000000">
        <w:rPr>
          <w:rtl w:val="0"/>
        </w:rPr>
      </w:r>
    </w:p>
    <w:p w:rsidR="00000000" w:rsidDel="00000000" w:rsidP="00000000" w:rsidRDefault="00000000" w:rsidRPr="00000000" w14:paraId="00000019">
      <w:pPr>
        <w:numPr>
          <w:ilvl w:val="0"/>
          <w:numId w:val="5"/>
        </w:numPr>
        <w:spacing w:after="0" w:before="0" w:lineRule="auto"/>
        <w:ind w:left="720" w:hanging="360"/>
        <w:rPr>
          <w:color w:val="414042"/>
        </w:rPr>
      </w:pPr>
      <w:r w:rsidDel="00000000" w:rsidR="00000000" w:rsidRPr="00000000">
        <w:rPr>
          <w:color w:val="414042"/>
          <w:rtl w:val="0"/>
        </w:rPr>
        <w:t xml:space="preserve">Notice the hedging language in the way the questions in the workbook are asked. That is on purpose. E.g. 15.3 “Appear to lack awareness” is an acknowledgement that this is a preliminary assessment.  </w:t>
      </w:r>
    </w:p>
    <w:p w:rsidR="00000000" w:rsidDel="00000000" w:rsidP="00000000" w:rsidRDefault="00000000" w:rsidRPr="00000000" w14:paraId="0000001A">
      <w:pPr>
        <w:numPr>
          <w:ilvl w:val="0"/>
          <w:numId w:val="5"/>
        </w:numPr>
        <w:spacing w:after="0" w:before="0" w:lineRule="auto"/>
        <w:ind w:left="720" w:hanging="360"/>
        <w:rPr>
          <w:color w:val="414042"/>
        </w:rPr>
      </w:pPr>
      <w:r w:rsidDel="00000000" w:rsidR="00000000" w:rsidRPr="00000000">
        <w:rPr>
          <w:color w:val="414042"/>
          <w:rtl w:val="0"/>
        </w:rPr>
        <w:t xml:space="preserve">The expectation is that writing this plan is the start to understanding what’s happening with covered populations in your area. Some, of course, may be further along than others. Aim for progress, not perfection. Think of this as one step in a longer term process of assessment that will lead to better understanding and refined program development down the line. </w:t>
      </w:r>
    </w:p>
    <w:p w:rsidR="00000000" w:rsidDel="00000000" w:rsidP="00000000" w:rsidRDefault="00000000" w:rsidRPr="00000000" w14:paraId="0000001B">
      <w:pPr>
        <w:numPr>
          <w:ilvl w:val="0"/>
          <w:numId w:val="5"/>
        </w:numPr>
        <w:spacing w:after="0" w:before="0" w:lineRule="auto"/>
        <w:ind w:left="720" w:hanging="360"/>
        <w:rPr>
          <w:color w:val="414042"/>
        </w:rPr>
      </w:pPr>
      <w:r w:rsidDel="00000000" w:rsidR="00000000" w:rsidRPr="00000000">
        <w:rPr>
          <w:color w:val="414042"/>
          <w:rtl w:val="0"/>
        </w:rPr>
        <w:t xml:space="preserve">Some of what may be helpful to know and the pathway of discovery will be future work. That is expected. Do what you can now, envision what might be next steps.</w:t>
      </w:r>
    </w:p>
    <w:p w:rsidR="00000000" w:rsidDel="00000000" w:rsidP="00000000" w:rsidRDefault="00000000" w:rsidRPr="00000000" w14:paraId="0000001C">
      <w:pPr>
        <w:numPr>
          <w:ilvl w:val="0"/>
          <w:numId w:val="5"/>
        </w:numPr>
        <w:spacing w:after="0" w:before="0" w:lineRule="auto"/>
        <w:ind w:left="720" w:hanging="360"/>
        <w:rPr>
          <w:color w:val="414042"/>
        </w:rPr>
      </w:pPr>
      <w:r w:rsidDel="00000000" w:rsidR="00000000" w:rsidRPr="00000000">
        <w:rPr>
          <w:color w:val="414042"/>
          <w:rtl w:val="0"/>
        </w:rPr>
        <w:t xml:space="preserve">Because this is a first pass with limited time to achieve, some aspects of the workbook assessment have been simplified (e.g. how to determine low-income, determining who is an aging individual etc.) </w:t>
      </w:r>
    </w:p>
    <w:p w:rsidR="00000000" w:rsidDel="00000000" w:rsidP="00000000" w:rsidRDefault="00000000" w:rsidRPr="00000000" w14:paraId="0000001D">
      <w:pPr>
        <w:numPr>
          <w:ilvl w:val="0"/>
          <w:numId w:val="5"/>
        </w:numPr>
        <w:spacing w:after="240" w:before="0" w:lineRule="auto"/>
        <w:ind w:left="720" w:hanging="360"/>
        <w:rPr>
          <w:color w:val="414042"/>
        </w:rPr>
      </w:pPr>
      <w:hyperlink r:id="rId13">
        <w:r w:rsidDel="00000000" w:rsidR="00000000" w:rsidRPr="00000000">
          <w:rPr>
            <w:color w:val="1155cc"/>
            <w:u w:val="single"/>
            <w:rtl w:val="0"/>
          </w:rPr>
          <w:t xml:space="preserve">The Washington State Digital Equity Act of 2021 (HB 1723)</w:t>
        </w:r>
      </w:hyperlink>
      <w:r w:rsidDel="00000000" w:rsidR="00000000" w:rsidRPr="00000000">
        <w:rPr>
          <w:color w:val="414042"/>
          <w:rtl w:val="0"/>
        </w:rPr>
        <w:t xml:space="preserve"> names several processes and practices that can be part of a roadmap to get a robust understanding of Digital Equity in your community, though the actual creation of a roadmap is not spelled out. </w:t>
      </w:r>
      <w:r w:rsidDel="00000000" w:rsidR="00000000" w:rsidRPr="00000000">
        <w:rPr>
          <w:rtl w:val="0"/>
        </w:rPr>
        <w:t xml:space="preserve">We encourage you to review the suggested ways of assessing Digital Equity that are named in the act such as getting input from those with lived experience of the issue as well as focusing on local and tribal government research and assessment. These set a course that may provide future opportunities to deepen the assessment you have started through this current planning process:  </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ab/>
        <w:t xml:space="preserve">From the Act: </w:t>
      </w:r>
    </w:p>
    <w:p w:rsidR="00000000" w:rsidDel="00000000" w:rsidP="00000000" w:rsidRDefault="00000000" w:rsidRPr="00000000" w14:paraId="0000001F">
      <w:pPr>
        <w:shd w:fill="ffffff" w:val="clear"/>
        <w:spacing w:after="240" w:before="240" w:lineRule="auto"/>
        <w:ind w:left="1440" w:firstLine="0"/>
        <w:rPr>
          <w:i w:val="1"/>
          <w:color w:val="212529"/>
        </w:rPr>
      </w:pPr>
      <w:r w:rsidDel="00000000" w:rsidR="00000000" w:rsidRPr="00000000">
        <w:rPr>
          <w:i w:val="1"/>
          <w:color w:val="212529"/>
          <w:rtl w:val="0"/>
        </w:rPr>
        <w:t xml:space="preserve">Digital Equity Planning Grant Program.</w:t>
        <w:br w:type="textWrapping"/>
        <w:t xml:space="preserve">Commerce must establish a Digital Equity Planning Grant Program (Planning Grant Program) to provide grants to local governments, institutions of higher education, workforce development councils, or other entities to fund the development of a digital equity plan for a discrete geographic region of the state.</w:t>
      </w:r>
    </w:p>
    <w:p w:rsidR="00000000" w:rsidDel="00000000" w:rsidP="00000000" w:rsidRDefault="00000000" w:rsidRPr="00000000" w14:paraId="00000020">
      <w:pPr>
        <w:shd w:fill="ffffff" w:val="clear"/>
        <w:spacing w:after="240" w:before="240" w:lineRule="auto"/>
        <w:ind w:left="1440" w:firstLine="0"/>
        <w:rPr>
          <w:i w:val="1"/>
          <w:color w:val="212529"/>
        </w:rPr>
      </w:pPr>
      <w:r w:rsidDel="00000000" w:rsidR="00000000" w:rsidRPr="00000000">
        <w:rPr>
          <w:i w:val="1"/>
          <w:color w:val="212529"/>
          <w:rtl w:val="0"/>
        </w:rPr>
        <w:t xml:space="preserve">Commerce must evaluate and rank applications using both objective and subjective criteria. Priority must be given for applications accompanied by express support from certain nonprofit organizations, public development authorities, federally recognized Indian tribes, or other community partners that intend to use community-based participatory action research methods. Commerce must also consider input from the Forum in awarding grants and how the grants awarded would increase the amount of prekindergarten through grade 12 students gaining greater access to digital inclusion. Commerce must develop criteria for the contents of digital equity plans and may adopt rules as necessary to implement the Planning Grant Program.</w:t>
      </w:r>
    </w:p>
    <w:p w:rsidR="00000000" w:rsidDel="00000000" w:rsidP="00000000" w:rsidRDefault="00000000" w:rsidRPr="00000000" w14:paraId="00000021">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22">
      <w:pPr>
        <w:spacing w:after="240" w:before="240" w:lineRule="auto"/>
        <w:ind w:left="0" w:firstLine="0"/>
        <w:rPr>
          <w:b w:val="1"/>
        </w:rPr>
      </w:pPr>
      <w:r w:rsidDel="00000000" w:rsidR="00000000" w:rsidRPr="00000000">
        <w:rPr>
          <w:b w:val="1"/>
          <w:rtl w:val="0"/>
        </w:rPr>
        <w:t xml:space="preserve">Understanding Poverty and Affordability Measures </w:t>
      </w:r>
    </w:p>
    <w:p w:rsidR="00000000" w:rsidDel="00000000" w:rsidP="00000000" w:rsidRDefault="00000000" w:rsidRPr="00000000" w14:paraId="00000023">
      <w:pPr>
        <w:spacing w:after="240" w:before="240" w:lineRule="auto"/>
        <w:ind w:left="0" w:firstLine="0"/>
        <w:rPr>
          <w:color w:val="414042"/>
        </w:rPr>
      </w:pPr>
      <w:r w:rsidDel="00000000" w:rsidR="00000000" w:rsidRPr="00000000">
        <w:rPr>
          <w:color w:val="414042"/>
          <w:rtl w:val="0"/>
        </w:rPr>
        <w:t xml:space="preserve">Because Digital Equity is closely tied to affordability of computer equipment and broadband services, and because suggested assessments of affordability differ across different key institutions and funders, we have chosen to focus on unpacking different ways of approaching assessment of affordability. At the highest level, there are two things to keep in mind: </w:t>
      </w:r>
    </w:p>
    <w:p w:rsidR="00000000" w:rsidDel="00000000" w:rsidP="00000000" w:rsidRDefault="00000000" w:rsidRPr="00000000" w14:paraId="00000024">
      <w:pPr>
        <w:numPr>
          <w:ilvl w:val="0"/>
          <w:numId w:val="4"/>
        </w:numPr>
        <w:spacing w:after="0" w:before="240" w:lineRule="auto"/>
        <w:ind w:left="720" w:hanging="360"/>
        <w:rPr>
          <w:color w:val="414042"/>
        </w:rPr>
      </w:pPr>
      <w:r w:rsidDel="00000000" w:rsidR="00000000" w:rsidRPr="00000000">
        <w:rPr>
          <w:color w:val="414042"/>
          <w:rtl w:val="0"/>
        </w:rPr>
        <w:t xml:space="preserve">There are many ways to assess affordability tied to different pots of money.</w:t>
      </w:r>
    </w:p>
    <w:p w:rsidR="00000000" w:rsidDel="00000000" w:rsidP="00000000" w:rsidRDefault="00000000" w:rsidRPr="00000000" w14:paraId="00000025">
      <w:pPr>
        <w:numPr>
          <w:ilvl w:val="0"/>
          <w:numId w:val="4"/>
        </w:numPr>
        <w:spacing w:after="240" w:before="0" w:lineRule="auto"/>
        <w:ind w:left="720" w:hanging="360"/>
        <w:rPr>
          <w:color w:val="414042"/>
        </w:rPr>
      </w:pPr>
      <w:r w:rsidDel="00000000" w:rsidR="00000000" w:rsidRPr="00000000">
        <w:rPr>
          <w:color w:val="414042"/>
          <w:rtl w:val="0"/>
        </w:rPr>
        <w:t xml:space="preserve">The difference between methods can lead to radically different assessments of need, therefore the dollar amounts and other resources that could flow toward any proposed plan. </w:t>
      </w:r>
    </w:p>
    <w:p w:rsidR="00000000" w:rsidDel="00000000" w:rsidP="00000000" w:rsidRDefault="00000000" w:rsidRPr="00000000" w14:paraId="00000026">
      <w:pPr>
        <w:spacing w:after="240" w:before="240" w:lineRule="auto"/>
        <w:rPr/>
      </w:pPr>
      <w:r w:rsidDel="00000000" w:rsidR="00000000" w:rsidRPr="00000000">
        <w:rPr>
          <w:rtl w:val="0"/>
        </w:rPr>
        <w:t xml:space="preserve">Wherever possible, we have aimed to document and make transparent any possible “gotchas” around data analysis as well as any methodological decisions that were made by the WSU Extension team or their contractors. This gives agency to local teams to opt in or out of specific ways of assessment based on their own capacities, resources, and needs. </w:t>
      </w:r>
    </w:p>
    <w:p w:rsidR="00000000" w:rsidDel="00000000" w:rsidP="00000000" w:rsidRDefault="00000000" w:rsidRPr="00000000" w14:paraId="00000027">
      <w:pPr>
        <w:spacing w:after="0" w:lineRule="auto"/>
        <w:rPr>
          <w:b w:val="1"/>
        </w:rPr>
      </w:pPr>
      <w:r w:rsidDel="00000000" w:rsidR="00000000" w:rsidRPr="00000000">
        <w:rPr>
          <w:b w:val="1"/>
          <w:rtl w:val="0"/>
        </w:rPr>
        <w:t xml:space="preserve">Guidance on Accessible, Inclusive Technology Design for Washington State</w:t>
      </w:r>
    </w:p>
    <w:p w:rsidR="00000000" w:rsidDel="00000000" w:rsidP="00000000" w:rsidRDefault="00000000" w:rsidRPr="00000000" w14:paraId="00000028">
      <w:pPr>
        <w:spacing w:after="0" w:lineRule="auto"/>
        <w:rPr/>
      </w:pPr>
      <w:r w:rsidDel="00000000" w:rsidR="00000000" w:rsidRPr="00000000">
        <w:rPr>
          <w:rtl w:val="0"/>
        </w:rPr>
        <w:t xml:space="preserve">Washington State’s Office of the Chief Information Officer has published </w:t>
      </w:r>
      <w:hyperlink r:id="rId14">
        <w:r w:rsidDel="00000000" w:rsidR="00000000" w:rsidRPr="00000000">
          <w:rPr>
            <w:color w:val="1155cc"/>
            <w:u w:val="single"/>
            <w:rtl w:val="0"/>
          </w:rPr>
          <w:t xml:space="preserve">Policy 188 </w:t>
        </w:r>
      </w:hyperlink>
      <w:r w:rsidDel="00000000" w:rsidR="00000000" w:rsidRPr="00000000">
        <w:rPr>
          <w:rtl w:val="0"/>
        </w:rPr>
        <w:t xml:space="preserve">which provides minimum standards for technology accessibility in the state. Some requirements are not funded or staffed. These could be assessed in your community and documented.</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b w:val="1"/>
          <w:rtl w:val="0"/>
        </w:rPr>
        <w:t xml:space="preserve">Identifying Your Own Knowledge Gaps Is Helpful for Future Advocacy and Planning </w:t>
      </w:r>
      <w:r w:rsidDel="00000000" w:rsidR="00000000" w:rsidRPr="00000000">
        <w:rPr>
          <w:rtl w:val="0"/>
        </w:rPr>
      </w:r>
    </w:p>
    <w:p w:rsidR="00000000" w:rsidDel="00000000" w:rsidP="00000000" w:rsidRDefault="00000000" w:rsidRPr="00000000" w14:paraId="0000002B">
      <w:pPr>
        <w:spacing w:after="240" w:before="240" w:lineRule="auto"/>
        <w:rPr>
          <w:b w:val="1"/>
          <w:color w:val="a32129"/>
        </w:rPr>
      </w:pPr>
      <w:r w:rsidDel="00000000" w:rsidR="00000000" w:rsidRPr="00000000">
        <w:rPr>
          <w:color w:val="1f1f1f"/>
          <w:rtl w:val="0"/>
        </w:rPr>
        <w:t xml:space="preserve">In the Executive Summary Template (Worksheet #18), you are asked to assess your confidence about the level of knowledge you have relative to different kinds of Digital Equity needs and gaps in your community. Raising awareness of where knowledge gaps remain around digital equity needs can be helpful for future advocacy and planning. </w:t>
      </w:r>
      <w:r w:rsidDel="00000000" w:rsidR="00000000" w:rsidRPr="00000000">
        <w:rPr>
          <w:rtl w:val="0"/>
        </w:rPr>
      </w:r>
    </w:p>
    <w:p w:rsidR="00000000" w:rsidDel="00000000" w:rsidP="00000000" w:rsidRDefault="00000000" w:rsidRPr="00000000" w14:paraId="0000002C">
      <w:pPr>
        <w:pStyle w:val="Heading1"/>
        <w:rPr/>
      </w:pPr>
      <w:bookmarkStart w:colFirst="0" w:colLast="0" w:name="_3znysh7" w:id="3"/>
      <w:bookmarkEnd w:id="3"/>
      <w:r w:rsidDel="00000000" w:rsidR="00000000" w:rsidRPr="00000000">
        <w:rPr>
          <w:rtl w:val="0"/>
        </w:rPr>
      </w:r>
    </w:p>
    <w:p w:rsidR="00000000" w:rsidDel="00000000" w:rsidP="00000000" w:rsidRDefault="00000000" w:rsidRPr="00000000" w14:paraId="0000002D">
      <w:pPr>
        <w:pStyle w:val="Heading1"/>
        <w:rPr>
          <w:b w:val="1"/>
        </w:rPr>
      </w:pPr>
      <w:bookmarkStart w:colFirst="0" w:colLast="0" w:name="_2et92p0" w:id="4"/>
      <w:bookmarkEnd w:id="4"/>
      <w:r w:rsidDel="00000000" w:rsidR="00000000" w:rsidRPr="00000000">
        <w:rPr>
          <w:b w:val="1"/>
          <w:rtl w:val="0"/>
        </w:rPr>
        <w:t xml:space="preserve">Covered Populations </w:t>
      </w:r>
    </w:p>
    <w:p w:rsidR="00000000" w:rsidDel="00000000" w:rsidP="00000000" w:rsidRDefault="00000000" w:rsidRPr="00000000" w14:paraId="0000002E">
      <w:pPr>
        <w:spacing w:after="0" w:line="240" w:lineRule="auto"/>
        <w:rPr>
          <w:b w:val="1"/>
        </w:rPr>
      </w:pPr>
      <w:r w:rsidDel="00000000" w:rsidR="00000000" w:rsidRPr="00000000">
        <w:rPr>
          <w:b w:val="1"/>
          <w:rtl w:val="0"/>
        </w:rPr>
        <w:t xml:space="preserve">Definitions of Covered/Underserved Populations</w:t>
      </w:r>
    </w:p>
    <w:p w:rsidR="00000000" w:rsidDel="00000000" w:rsidP="00000000" w:rsidRDefault="00000000" w:rsidRPr="00000000" w14:paraId="0000002F">
      <w:pPr>
        <w:spacing w:after="0" w:line="240" w:lineRule="auto"/>
        <w:rPr/>
      </w:pPr>
      <w:r w:rsidDel="00000000" w:rsidR="00000000" w:rsidRPr="00000000">
        <w:rPr>
          <w:rtl w:val="0"/>
        </w:rPr>
        <w:t xml:space="preserve">Be aware in several cases covered populations have different definitions that are tied to different funding opportunities. Most relevant for us are where differences occur between the federal and state Digital Equity Acts. Where the state act differs it is generally more inclusive, expanding the number of people who may be considered in these populations. Eventually, this will allow local communities to have more choices.</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t xml:space="preserve">We have provided </w:t>
      </w:r>
      <w:hyperlink r:id="rId15">
        <w:r w:rsidDel="00000000" w:rsidR="00000000" w:rsidRPr="00000000">
          <w:rPr>
            <w:color w:val="1155cc"/>
            <w:u w:val="single"/>
            <w:rtl w:val="0"/>
          </w:rPr>
          <w:t xml:space="preserve">a table here that compares the definitions of covered populations</w:t>
        </w:r>
      </w:hyperlink>
      <w:r w:rsidDel="00000000" w:rsidR="00000000" w:rsidRPr="00000000">
        <w:rPr>
          <w:rtl w:val="0"/>
        </w:rPr>
        <w:t xml:space="preserve"> in the Washington State Digital Equity Act and in the  Federal Digital Equity Act. Additionally, we have provided a</w:t>
      </w:r>
      <w:hyperlink r:id="rId16">
        <w:r w:rsidDel="00000000" w:rsidR="00000000" w:rsidRPr="00000000">
          <w:rPr>
            <w:color w:val="1155cc"/>
            <w:u w:val="single"/>
            <w:rtl w:val="0"/>
          </w:rPr>
          <w:t xml:space="preserve"> table of covered populations per Washington State county</w:t>
        </w:r>
      </w:hyperlink>
      <w:r w:rsidDel="00000000" w:rsidR="00000000" w:rsidRPr="00000000">
        <w:rPr>
          <w:rtl w:val="0"/>
        </w:rPr>
        <w:t xml:space="preserve"> pulled from American Community Survey Census Data by WSU Extension staff for your reference. Search for your county or Tribe in the sheet. Be aware that data per covered population is inconsistent across counties. </w:t>
      </w:r>
    </w:p>
    <w:p w:rsidR="00000000" w:rsidDel="00000000" w:rsidP="00000000" w:rsidRDefault="00000000" w:rsidRPr="00000000" w14:paraId="00000032">
      <w:pPr>
        <w:rPr>
          <w:shd w:fill="fff2cc" w:val="clea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Using a Multi-Pronged Approach to Assessing the Needs of Covered Populations </w:t>
      </w:r>
    </w:p>
    <w:p w:rsidR="00000000" w:rsidDel="00000000" w:rsidP="00000000" w:rsidRDefault="00000000" w:rsidRPr="00000000" w14:paraId="00000034">
      <w:pPr>
        <w:rPr/>
      </w:pPr>
      <w:r w:rsidDel="00000000" w:rsidR="00000000" w:rsidRPr="00000000">
        <w:rPr>
          <w:rtl w:val="0"/>
        </w:rPr>
        <w:t xml:space="preserve">The strategy for assessing the needs for each covered population may be different. For example, comparing the most recent data available on the number of low-income households in your area to recent data on uptake of the </w:t>
      </w:r>
      <w:hyperlink r:id="rId17">
        <w:r w:rsidDel="00000000" w:rsidR="00000000" w:rsidRPr="00000000">
          <w:rPr>
            <w:color w:val="1155cc"/>
            <w:u w:val="single"/>
            <w:rtl w:val="0"/>
          </w:rPr>
          <w:t xml:space="preserve">Affordable Connectivity Program (ACP)</w:t>
        </w:r>
      </w:hyperlink>
      <w:r w:rsidDel="00000000" w:rsidR="00000000" w:rsidRPr="00000000">
        <w:rPr>
          <w:rtl w:val="0"/>
        </w:rPr>
        <w:t xml:space="preserve"> in your area could be informative for identifying a gap in uptake of the ACP among those who are eligible. Or you may discover that internet, and therefore ACP, is not available in a critical geographic location. </w:t>
      </w:r>
    </w:p>
    <w:p w:rsidR="00000000" w:rsidDel="00000000" w:rsidP="00000000" w:rsidRDefault="00000000" w:rsidRPr="00000000" w14:paraId="00000035">
      <w:pPr>
        <w:rPr/>
      </w:pPr>
      <w:r w:rsidDel="00000000" w:rsidR="00000000" w:rsidRPr="00000000">
        <w:rPr>
          <w:rtl w:val="0"/>
        </w:rPr>
        <w:t xml:space="preserve">In other cases, you will want to connect with experts in your community who are working directly with each covered population who can inform you of the needs respective to that group. If such individuals are not part of your Broadband Action Team or Tribal team, it will be helpful to set up informational interviews to learn what you can about the covered population they serve. When possible, talk to more than one individual who works with each covered population as people in different roles may have different insights. The relationships that you build through these inquiries set the stage for future effective action.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Incorporating Perspectives of Those with Lived Experience </w:t>
      </w:r>
    </w:p>
    <w:p w:rsidR="00000000" w:rsidDel="00000000" w:rsidP="00000000" w:rsidRDefault="00000000" w:rsidRPr="00000000" w14:paraId="0000003A">
      <w:pPr>
        <w:rPr/>
      </w:pPr>
      <w:r w:rsidDel="00000000" w:rsidR="00000000" w:rsidRPr="00000000">
        <w:rPr>
          <w:rtl w:val="0"/>
        </w:rPr>
        <w:t xml:space="preserve">A goal for NTIA and for Washington State is to have plans that are informed by people with lived experience relative to the covered populations the plan is addressing. For this reason, monies have been set aside for doing outreach to these groups. However, the time frame for meaningful original research with these groups is short given the timeline given for writing the current plans. It is likely that the requirement for incorporating those with lived experience into planning and evaluation will be retained for future funding rounds and it is prudent to think innovative ways over the long term to better incorporate those with lived experience into your planning and evaluation cycles. </w:t>
      </w:r>
    </w:p>
    <w:p w:rsidR="00000000" w:rsidDel="00000000" w:rsidP="00000000" w:rsidRDefault="00000000" w:rsidRPr="00000000" w14:paraId="0000003B">
      <w:pPr>
        <w:rPr>
          <w:shd w:fill="cccccc" w:val="clear"/>
        </w:rPr>
      </w:pPr>
      <w:r w:rsidDel="00000000" w:rsidR="00000000" w:rsidRPr="00000000">
        <w:rPr>
          <w:rtl w:val="0"/>
        </w:rPr>
        <w:t xml:space="preserve">For the present plan you are drafting, you will likely be somewhat dependent on existing relationships and skills of those on your Broadband Action Team or Tribal team and those in direct contact with your team which could fall short of developing a robust picture of emergent needs, challenges, and aims from those who are the ultimate beneficiaries of your plan. In many cases, the most expedient way to get some input on lived experience pertaining to each covered population is to partner with Community Anchor Institutions that serve those populations to help recruit, run, and interpret explorations with those with lived experience. For certain, vulnerable populations such as children in Foster Care, you will need to rely on indirect evidence from those who work with them in schools or foster care agencies. </w:t>
      </w:r>
      <w:r w:rsidDel="00000000" w:rsidR="00000000" w:rsidRPr="00000000">
        <w:rPr>
          <w:rtl w:val="0"/>
        </w:rPr>
      </w:r>
    </w:p>
    <w:p w:rsidR="00000000" w:rsidDel="00000000" w:rsidP="00000000" w:rsidRDefault="00000000" w:rsidRPr="00000000" w14:paraId="0000003C">
      <w:pPr>
        <w:spacing w:after="240" w:before="240" w:lineRule="auto"/>
        <w:rPr>
          <w:rFonts w:ascii="Arial" w:cs="Arial" w:eastAsia="Arial" w:hAnsi="Arial"/>
          <w:b w:val="1"/>
          <w:color w:val="414042"/>
        </w:rPr>
      </w:pPr>
      <w:r w:rsidDel="00000000" w:rsidR="00000000" w:rsidRPr="00000000">
        <w:rPr>
          <w:rtl w:val="0"/>
        </w:rPr>
      </w:r>
    </w:p>
    <w:p w:rsidR="00000000" w:rsidDel="00000000" w:rsidP="00000000" w:rsidRDefault="00000000" w:rsidRPr="00000000" w14:paraId="0000003D">
      <w:pPr>
        <w:pStyle w:val="Heading1"/>
        <w:spacing w:after="240" w:before="240" w:lineRule="auto"/>
        <w:rPr>
          <w:b w:val="1"/>
        </w:rPr>
      </w:pPr>
      <w:bookmarkStart w:colFirst="0" w:colLast="0" w:name="_tyjcwt" w:id="5"/>
      <w:bookmarkEnd w:id="5"/>
      <w:r w:rsidDel="00000000" w:rsidR="00000000" w:rsidRPr="00000000">
        <w:rPr>
          <w:b w:val="1"/>
          <w:rtl w:val="0"/>
        </w:rPr>
        <w:t xml:space="preserve">Worksheet #15: Digital Equity and Access Needs Assessment</w:t>
      </w:r>
    </w:p>
    <w:p w:rsidR="00000000" w:rsidDel="00000000" w:rsidP="00000000" w:rsidRDefault="00000000" w:rsidRPr="00000000" w14:paraId="0000003E">
      <w:pPr>
        <w:pStyle w:val="Heading2"/>
        <w:spacing w:after="240" w:before="240" w:lineRule="auto"/>
        <w:rPr>
          <w:rFonts w:ascii="Arial" w:cs="Arial" w:eastAsia="Arial" w:hAnsi="Arial"/>
          <w:b w:val="1"/>
        </w:rPr>
      </w:pPr>
      <w:bookmarkStart w:colFirst="0" w:colLast="0" w:name="_3dy6vkm" w:id="6"/>
      <w:bookmarkEnd w:id="6"/>
      <w:r w:rsidDel="00000000" w:rsidR="00000000" w:rsidRPr="00000000">
        <w:rPr>
          <w:rtl w:val="0"/>
        </w:rPr>
        <w:t xml:space="preserve">15.1 Where do there appear to be gaps between available digital equity needs and services? In answering this question, be sure to consider needs and services related to (a) Internet adoption, (b) devices, and (c) skills.</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GUIDANCE for 15.1</w:t>
      </w:r>
    </w:p>
    <w:p w:rsidR="00000000" w:rsidDel="00000000" w:rsidP="00000000" w:rsidRDefault="00000000" w:rsidRPr="00000000" w14:paraId="00000040">
      <w:pPr>
        <w:rPr>
          <w:shd w:fill="fff2cc" w:val="clear"/>
        </w:rPr>
      </w:pPr>
      <w:r w:rsidDel="00000000" w:rsidR="00000000" w:rsidRPr="00000000">
        <w:rPr>
          <w:rtl w:val="0"/>
        </w:rPr>
        <w:t xml:space="preserve">There are three types of systematic gaps that you might uncover in your assessment: 1) gaps that pertain to specific socio-demographic groups, 2) gaps that pertain to specific geographic areas, and 3) gaps that pertain to specific sectors. Identifying these types of gaps sets the stage for future resourcing and funding opportunities that pertain to the different types of needs in your community. </w:t>
      </w: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Types of Digital Equity Gaps You Might Identify </w:t>
      </w:r>
    </w:p>
    <w:p w:rsidR="00000000" w:rsidDel="00000000" w:rsidP="00000000" w:rsidRDefault="00000000" w:rsidRPr="00000000" w14:paraId="00000043">
      <w:pPr>
        <w:pStyle w:val="Heading3"/>
        <w:spacing w:after="240" w:before="240" w:lineRule="auto"/>
        <w:rPr>
          <w:b w:val="1"/>
          <w:color w:val="000000"/>
        </w:rPr>
      </w:pPr>
      <w:bookmarkStart w:colFirst="0" w:colLast="0" w:name="_1t3h5sf" w:id="7"/>
      <w:bookmarkEnd w:id="7"/>
      <w:r w:rsidDel="00000000" w:rsidR="00000000" w:rsidRPr="00000000">
        <w:rPr>
          <w:b w:val="1"/>
          <w:color w:val="000000"/>
          <w:rtl w:val="0"/>
        </w:rPr>
        <w:t xml:space="preserve">Socio-demographic gaps in your community </w:t>
      </w:r>
    </w:p>
    <w:p w:rsidR="00000000" w:rsidDel="00000000" w:rsidP="00000000" w:rsidRDefault="00000000" w:rsidRPr="00000000" w14:paraId="00000044">
      <w:pPr>
        <w:rPr/>
      </w:pPr>
      <w:r w:rsidDel="00000000" w:rsidR="00000000" w:rsidRPr="00000000">
        <w:rPr>
          <w:rtl w:val="0"/>
        </w:rPr>
        <w:t xml:space="preserve">This refers to needs of priority covered populations or other socio-demographic groups you identify as having particular digital equity needs. </w:t>
      </w:r>
    </w:p>
    <w:p w:rsidR="00000000" w:rsidDel="00000000" w:rsidP="00000000" w:rsidRDefault="00000000" w:rsidRPr="00000000" w14:paraId="00000045">
      <w:pPr>
        <w:pStyle w:val="Heading3"/>
        <w:spacing w:after="240" w:before="240" w:lineRule="auto"/>
        <w:rPr>
          <w:b w:val="1"/>
          <w:color w:val="000000"/>
        </w:rPr>
      </w:pPr>
      <w:bookmarkStart w:colFirst="0" w:colLast="0" w:name="_4d34og8" w:id="8"/>
      <w:bookmarkEnd w:id="8"/>
      <w:r w:rsidDel="00000000" w:rsidR="00000000" w:rsidRPr="00000000">
        <w:rPr>
          <w:b w:val="1"/>
          <w:color w:val="000000"/>
          <w:rtl w:val="0"/>
        </w:rPr>
        <w:t xml:space="preserve">Geographic gaps in your community </w:t>
      </w:r>
    </w:p>
    <w:p w:rsidR="00000000" w:rsidDel="00000000" w:rsidP="00000000" w:rsidRDefault="00000000" w:rsidRPr="00000000" w14:paraId="00000046">
      <w:pPr>
        <w:rPr>
          <w:rFonts w:ascii="Arial" w:cs="Arial" w:eastAsia="Arial" w:hAnsi="Arial"/>
          <w:b w:val="1"/>
        </w:rPr>
      </w:pPr>
      <w:r w:rsidDel="00000000" w:rsidR="00000000" w:rsidRPr="00000000">
        <w:rPr>
          <w:rtl w:val="0"/>
        </w:rPr>
        <w:t xml:space="preserve">Just as high quality internet service may be clustered in some areas of your community and be absent in other areas, you may find that there are hot and cold spots for internet adoption, device giveaways, device refurbishment services, device loan programs, and digital skills training of various kinds. </w:t>
      </w:r>
      <w:r w:rsidDel="00000000" w:rsidR="00000000" w:rsidRPr="00000000">
        <w:rPr>
          <w:rtl w:val="0"/>
        </w:rPr>
      </w:r>
    </w:p>
    <w:p w:rsidR="00000000" w:rsidDel="00000000" w:rsidP="00000000" w:rsidRDefault="00000000" w:rsidRPr="00000000" w14:paraId="00000047">
      <w:pPr>
        <w:rPr>
          <w:rFonts w:ascii="Arial" w:cs="Arial" w:eastAsia="Arial" w:hAnsi="Arial"/>
          <w:b w:val="1"/>
        </w:rPr>
      </w:pPr>
      <w:r w:rsidDel="00000000" w:rsidR="00000000" w:rsidRPr="00000000">
        <w:rPr>
          <w:rtl w:val="0"/>
        </w:rPr>
      </w:r>
    </w:p>
    <w:p w:rsidR="00000000" w:rsidDel="00000000" w:rsidP="00000000" w:rsidRDefault="00000000" w:rsidRPr="00000000" w14:paraId="00000048">
      <w:pPr>
        <w:pStyle w:val="Heading3"/>
        <w:spacing w:after="240" w:before="240" w:lineRule="auto"/>
        <w:rPr>
          <w:b w:val="1"/>
          <w:color w:val="000000"/>
        </w:rPr>
      </w:pPr>
      <w:bookmarkStart w:colFirst="0" w:colLast="0" w:name="_2s8eyo1" w:id="9"/>
      <w:bookmarkEnd w:id="9"/>
      <w:r w:rsidDel="00000000" w:rsidR="00000000" w:rsidRPr="00000000">
        <w:rPr>
          <w:b w:val="1"/>
          <w:color w:val="000000"/>
          <w:rtl w:val="0"/>
        </w:rPr>
        <w:t xml:space="preserve">Sectoral gaps in your community </w:t>
      </w:r>
    </w:p>
    <w:p w:rsidR="00000000" w:rsidDel="00000000" w:rsidP="00000000" w:rsidRDefault="00000000" w:rsidRPr="00000000" w14:paraId="00000049">
      <w:pPr>
        <w:rPr/>
      </w:pPr>
      <w:r w:rsidDel="00000000" w:rsidR="00000000" w:rsidRPr="00000000">
        <w:rPr>
          <w:rtl w:val="0"/>
        </w:rPr>
        <w:t xml:space="preserve">Another possible trend your assessment might uncover are opportunities for improvement tied to specific sectors in your community such as education, workforce development, finance, healthcare, creative economy, and agriculture.</w:t>
      </w:r>
    </w:p>
    <w:p w:rsidR="00000000" w:rsidDel="00000000" w:rsidP="00000000" w:rsidRDefault="00000000" w:rsidRPr="00000000" w14:paraId="0000004A">
      <w:pPr>
        <w:rPr>
          <w:rFonts w:ascii="Arial" w:cs="Arial" w:eastAsia="Arial" w:hAnsi="Arial"/>
          <w:b w:val="1"/>
        </w:rPr>
      </w:pPr>
      <w:r w:rsidDel="00000000" w:rsidR="00000000" w:rsidRPr="00000000">
        <w:rPr>
          <w:rtl w:val="0"/>
        </w:rPr>
        <w:t xml:space="preserve">We can’t anticipate the trends you might uncover. Sectoral gaps lend themselves to systematic approaches to digital equity that can occur when organizations in a given sector consider digital equity across all touchpoints in their service delivery or when multiple organizations in a given sector pull together to holistically address digital equity. Sectoral gaps may also be of interest to particular kinds of funders who engage with a given sector. Therefore, it is prudent to identify sectoral gaps when possible. </w:t>
      </w:r>
      <w:r w:rsidDel="00000000" w:rsidR="00000000" w:rsidRPr="00000000">
        <w:rPr>
          <w:rtl w:val="0"/>
        </w:rPr>
      </w:r>
    </w:p>
    <w:p w:rsidR="00000000" w:rsidDel="00000000" w:rsidP="00000000" w:rsidRDefault="00000000" w:rsidRPr="00000000" w14:paraId="0000004B">
      <w:pPr>
        <w:pStyle w:val="Heading2"/>
        <w:spacing w:after="240" w:before="240" w:lineRule="auto"/>
        <w:rPr/>
      </w:pPr>
      <w:bookmarkStart w:colFirst="0" w:colLast="0" w:name="_17dp8vu" w:id="10"/>
      <w:bookmarkEnd w:id="10"/>
      <w:r w:rsidDel="00000000" w:rsidR="00000000" w:rsidRPr="00000000">
        <w:rPr>
          <w:rtl w:val="0"/>
        </w:rPr>
      </w:r>
    </w:p>
    <w:p w:rsidR="00000000" w:rsidDel="00000000" w:rsidP="00000000" w:rsidRDefault="00000000" w:rsidRPr="00000000" w14:paraId="0000004C">
      <w:pPr>
        <w:pStyle w:val="Heading2"/>
        <w:spacing w:after="240" w:before="240" w:lineRule="auto"/>
        <w:rPr/>
      </w:pPr>
      <w:bookmarkStart w:colFirst="0" w:colLast="0" w:name="_3rdcrjn" w:id="11"/>
      <w:bookmarkEnd w:id="11"/>
      <w:r w:rsidDel="00000000" w:rsidR="00000000" w:rsidRPr="00000000">
        <w:rPr>
          <w:rtl w:val="0"/>
        </w:rPr>
        <w:t xml:space="preserve">15.2 Which covered populations appear to lack awareness, adoption, or availability of dedicated and/or accessible digital equity services?</w:t>
      </w:r>
    </w:p>
    <w:p w:rsidR="00000000" w:rsidDel="00000000" w:rsidP="00000000" w:rsidRDefault="00000000" w:rsidRPr="00000000" w14:paraId="0000004D">
      <w:pPr>
        <w:spacing w:after="240" w:before="240" w:lineRule="auto"/>
        <w:rPr/>
      </w:pPr>
      <w:r w:rsidDel="00000000" w:rsidR="00000000" w:rsidRPr="00000000">
        <w:rPr>
          <w:rtl w:val="0"/>
        </w:rPr>
        <w:t xml:space="preserve">GUIDANCE for 15.2 </w:t>
      </w:r>
    </w:p>
    <w:p w:rsidR="00000000" w:rsidDel="00000000" w:rsidP="00000000" w:rsidRDefault="00000000" w:rsidRPr="00000000" w14:paraId="0000004E">
      <w:pPr>
        <w:rPr/>
      </w:pPr>
      <w:r w:rsidDel="00000000" w:rsidR="00000000" w:rsidRPr="00000000">
        <w:rPr>
          <w:rtl w:val="0"/>
        </w:rPr>
        <w:t xml:space="preserve">As discussed in 14.2, both federal and state guidance for writing our plans names specific socio-demographic groups to consider in your assessment. Here we provide an optional table for you to consider specific gaps per covered population group. This may help you identify patterns in terms of groups that are particularly well served or less well served. You may also discover that there are unknowns that you do not have sufficient information to assess at this time. That is also helpful for planning purposes as it can demonstrate next steps for future support and planning. </w:t>
      </w:r>
    </w:p>
    <w:p w:rsidR="00000000" w:rsidDel="00000000" w:rsidP="00000000" w:rsidRDefault="00000000" w:rsidRPr="00000000" w14:paraId="0000004F">
      <w:pPr>
        <w:pStyle w:val="Heading3"/>
        <w:spacing w:after="240" w:before="240" w:lineRule="auto"/>
        <w:rPr>
          <w:b w:val="1"/>
          <w:color w:val="000000"/>
        </w:rPr>
      </w:pPr>
      <w:bookmarkStart w:colFirst="0" w:colLast="0" w:name="_26in1rg" w:id="12"/>
      <w:bookmarkEnd w:id="12"/>
      <w:r w:rsidDel="00000000" w:rsidR="00000000" w:rsidRPr="00000000">
        <w:rPr>
          <w:b w:val="1"/>
          <w:color w:val="000000"/>
          <w:rtl w:val="0"/>
        </w:rPr>
        <w:t xml:space="preserve">Types of Digital Equity Gaps Per Covered Population (Template Table)</w:t>
      </w:r>
    </w:p>
    <w:tbl>
      <w:tblPr>
        <w:tblStyle w:val="Table1"/>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2310"/>
        <w:gridCol w:w="2565"/>
        <w:gridCol w:w="2790"/>
        <w:tblGridChange w:id="0">
          <w:tblGrid>
            <w:gridCol w:w="2295"/>
            <w:gridCol w:w="2310"/>
            <w:gridCol w:w="2565"/>
            <w:gridCol w:w="2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line="240" w:lineRule="auto"/>
              <w:rPr>
                <w:b w:val="1"/>
              </w:rPr>
            </w:pPr>
            <w:r w:rsidDel="00000000" w:rsidR="00000000" w:rsidRPr="00000000">
              <w:rPr>
                <w:b w:val="1"/>
                <w:rtl w:val="0"/>
              </w:rPr>
              <w:t xml:space="preserve">IIJA Named Population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line="240" w:lineRule="auto"/>
              <w:rPr>
                <w:b w:val="1"/>
              </w:rPr>
            </w:pPr>
            <w:r w:rsidDel="00000000" w:rsidR="00000000" w:rsidRPr="00000000">
              <w:rPr>
                <w:b w:val="1"/>
                <w:rtl w:val="0"/>
              </w:rPr>
              <w:t xml:space="preserve">AWARENESS </w:t>
            </w:r>
          </w:p>
          <w:p w:rsidR="00000000" w:rsidDel="00000000" w:rsidP="00000000" w:rsidRDefault="00000000" w:rsidRPr="00000000" w14:paraId="00000052">
            <w:pPr>
              <w:spacing w:after="0" w:line="240" w:lineRule="auto"/>
              <w:rPr>
                <w:b w:val="1"/>
              </w:rPr>
            </w:pPr>
            <w:r w:rsidDel="00000000" w:rsidR="00000000" w:rsidRPr="00000000">
              <w:rPr>
                <w:b w:val="1"/>
                <w:rtl w:val="0"/>
              </w:rPr>
              <w:t xml:space="preserve">of Dedicated and/or Accessible Digital Equity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line="240" w:lineRule="auto"/>
              <w:rPr>
                <w:b w:val="1"/>
              </w:rPr>
            </w:pPr>
            <w:r w:rsidDel="00000000" w:rsidR="00000000" w:rsidRPr="00000000">
              <w:rPr>
                <w:b w:val="1"/>
                <w:rtl w:val="0"/>
              </w:rPr>
              <w:t xml:space="preserve">ADOPTION</w:t>
            </w:r>
          </w:p>
          <w:p w:rsidR="00000000" w:rsidDel="00000000" w:rsidP="00000000" w:rsidRDefault="00000000" w:rsidRPr="00000000" w14:paraId="00000054">
            <w:pPr>
              <w:spacing w:after="0" w:line="240" w:lineRule="auto"/>
              <w:rPr>
                <w:b w:val="1"/>
              </w:rPr>
            </w:pPr>
            <w:r w:rsidDel="00000000" w:rsidR="00000000" w:rsidRPr="00000000">
              <w:rPr>
                <w:b w:val="1"/>
                <w:rtl w:val="0"/>
              </w:rPr>
              <w:t xml:space="preserve">of Dedicated and/or Accessible Digital Equity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line="240" w:lineRule="auto"/>
              <w:rPr>
                <w:b w:val="1"/>
              </w:rPr>
            </w:pPr>
            <w:r w:rsidDel="00000000" w:rsidR="00000000" w:rsidRPr="00000000">
              <w:rPr>
                <w:b w:val="1"/>
                <w:rtl w:val="0"/>
              </w:rPr>
              <w:t xml:space="preserve">AVAILABILITY </w:t>
            </w:r>
          </w:p>
          <w:p w:rsidR="00000000" w:rsidDel="00000000" w:rsidP="00000000" w:rsidRDefault="00000000" w:rsidRPr="00000000" w14:paraId="00000056">
            <w:pPr>
              <w:spacing w:after="0" w:line="240" w:lineRule="auto"/>
              <w:rPr>
                <w:b w:val="1"/>
              </w:rPr>
            </w:pPr>
            <w:r w:rsidDel="00000000" w:rsidR="00000000" w:rsidRPr="00000000">
              <w:rPr>
                <w:b w:val="1"/>
                <w:rtl w:val="0"/>
              </w:rPr>
              <w:t xml:space="preserve">of Dedicated and/or Accessible Digital Equity Services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after="0" w:line="240" w:lineRule="auto"/>
              <w:rPr>
                <w:b w:val="1"/>
              </w:rPr>
            </w:pPr>
            <w:r w:rsidDel="00000000" w:rsidR="00000000" w:rsidRPr="00000000">
              <w:rPr>
                <w:b w:val="1"/>
                <w:rtl w:val="0"/>
              </w:rPr>
              <w:t xml:space="preserve">Populations who live in low-income households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line="240" w:lineRule="auto"/>
              <w:rPr>
                <w:b w:val="1"/>
              </w:rPr>
            </w:pPr>
            <w:r w:rsidDel="00000000" w:rsidR="00000000" w:rsidRPr="00000000">
              <w:rPr>
                <w:b w:val="1"/>
                <w:rtl w:val="0"/>
              </w:rPr>
              <w:t xml:space="preserve">Aging Individuals</w:t>
            </w:r>
          </w:p>
          <w:p w:rsidR="00000000" w:rsidDel="00000000" w:rsidP="00000000" w:rsidRDefault="00000000" w:rsidRPr="00000000" w14:paraId="0000005C">
            <w:pPr>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240" w:lineRule="auto"/>
              <w:rPr>
                <w:b w:val="1"/>
              </w:rPr>
            </w:pPr>
            <w:r w:rsidDel="00000000" w:rsidR="00000000" w:rsidRPr="00000000">
              <w:rPr>
                <w:b w:val="1"/>
                <w:rtl w:val="0"/>
              </w:rPr>
              <w:t xml:space="preserve">Incarcerated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line="240" w:lineRule="auto"/>
              <w:rPr>
                <w:b w:val="1"/>
              </w:rPr>
            </w:pPr>
            <w:r w:rsidDel="00000000" w:rsidR="00000000" w:rsidRPr="00000000">
              <w:rPr>
                <w:b w:val="1"/>
                <w:rtl w:val="0"/>
              </w:rPr>
              <w:t xml:space="preserve">Veterans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line="240" w:lineRule="auto"/>
              <w:rPr>
                <w:b w:val="1"/>
              </w:rPr>
            </w:pPr>
            <w:r w:rsidDel="00000000" w:rsidR="00000000" w:rsidRPr="00000000">
              <w:rPr>
                <w:b w:val="1"/>
                <w:rtl w:val="0"/>
              </w:rPr>
              <w:t xml:space="preserve">Individuals with Disabilities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after="0" w:line="240" w:lineRule="auto"/>
              <w:rPr>
                <w:b w:val="1"/>
              </w:rPr>
            </w:pPr>
            <w:r w:rsidDel="00000000" w:rsidR="00000000" w:rsidRPr="00000000">
              <w:rPr>
                <w:b w:val="1"/>
                <w:rtl w:val="0"/>
              </w:rPr>
              <w:t xml:space="preserve">Individuals with a language barrier, such as English learners, or those with low levels of literacy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after="0" w:line="240" w:lineRule="auto"/>
              <w:rPr>
                <w:b w:val="1"/>
              </w:rPr>
            </w:pPr>
            <w:r w:rsidDel="00000000" w:rsidR="00000000" w:rsidRPr="00000000">
              <w:rPr>
                <w:b w:val="1"/>
                <w:rtl w:val="0"/>
              </w:rPr>
              <w:t xml:space="preserve">Individuals of racial or ethnic minority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line="240" w:lineRule="auto"/>
              <w:rPr>
                <w:b w:val="1"/>
              </w:rPr>
            </w:pPr>
            <w:r w:rsidDel="00000000" w:rsidR="00000000" w:rsidRPr="00000000">
              <w:rPr>
                <w:b w:val="1"/>
                <w:rtl w:val="0"/>
              </w:rPr>
              <w:t xml:space="preserve">Individuals who primarily reside in a rural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after="0" w:line="240" w:lineRule="auto"/>
              <w:rPr>
                <w:b w:val="1"/>
              </w:rPr>
            </w:pPr>
            <w:r w:rsidDel="00000000" w:rsidR="00000000" w:rsidRPr="00000000">
              <w:rPr>
                <w:b w:val="1"/>
                <w:rtl w:val="0"/>
              </w:rPr>
              <w:t xml:space="preserve">Children and youth in foster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line="240" w:lineRule="auto"/>
              <w:rPr>
                <w:b w:val="1"/>
              </w:rPr>
            </w:pPr>
            <w:r w:rsidDel="00000000" w:rsidR="00000000" w:rsidRPr="00000000">
              <w:rPr>
                <w:b w:val="1"/>
                <w:rtl w:val="0"/>
              </w:rPr>
              <w:t xml:space="preserve">Individuals experiencing housing instability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after="0" w:line="240" w:lineRule="auto"/>
              <w:rPr>
                <w:b w:val="1"/>
              </w:rPr>
            </w:pPr>
            <w:r w:rsidDel="00000000" w:rsidR="00000000" w:rsidRPr="00000000">
              <w:rPr>
                <w:b w:val="1"/>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line="240" w:lineRule="auto"/>
              <w:rPr/>
            </w:pPr>
            <w:r w:rsidDel="00000000" w:rsidR="00000000" w:rsidRPr="00000000">
              <w:rPr>
                <w:rtl w:val="0"/>
              </w:rPr>
            </w:r>
          </w:p>
        </w:tc>
      </w:tr>
    </w:tbl>
    <w:p w:rsidR="00000000" w:rsidDel="00000000" w:rsidP="00000000" w:rsidRDefault="00000000" w:rsidRPr="00000000" w14:paraId="00000084">
      <w:pPr>
        <w:widowControl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5">
      <w:pPr>
        <w:spacing w:after="240" w:before="240" w:lineRule="auto"/>
        <w:rPr>
          <w:rFonts w:ascii="Arial" w:cs="Arial" w:eastAsia="Arial" w:hAnsi="Arial"/>
          <w:b w:val="1"/>
          <w:color w:val="414042"/>
        </w:rPr>
      </w:pPr>
      <w:r w:rsidDel="00000000" w:rsidR="00000000" w:rsidRPr="00000000">
        <w:rPr>
          <w:rtl w:val="0"/>
        </w:rPr>
      </w:r>
    </w:p>
    <w:p w:rsidR="00000000" w:rsidDel="00000000" w:rsidP="00000000" w:rsidRDefault="00000000" w:rsidRPr="00000000" w14:paraId="00000086">
      <w:pPr>
        <w:pStyle w:val="Heading2"/>
        <w:spacing w:after="240" w:before="240" w:lineRule="auto"/>
        <w:rPr/>
      </w:pPr>
      <w:bookmarkStart w:colFirst="0" w:colLast="0" w:name="_lnxbz9" w:id="13"/>
      <w:bookmarkEnd w:id="13"/>
      <w:r w:rsidDel="00000000" w:rsidR="00000000" w:rsidRPr="00000000">
        <w:rPr>
          <w:rtl w:val="0"/>
        </w:rPr>
        <w:t xml:space="preserve">15.3 Where are the gaps in availability of online safety and privacy training for your community?</w:t>
      </w:r>
    </w:p>
    <w:p w:rsidR="00000000" w:rsidDel="00000000" w:rsidP="00000000" w:rsidRDefault="00000000" w:rsidRPr="00000000" w14:paraId="00000087">
      <w:pPr>
        <w:rPr/>
      </w:pPr>
      <w:r w:rsidDel="00000000" w:rsidR="00000000" w:rsidRPr="00000000">
        <w:rPr>
          <w:rtl w:val="0"/>
        </w:rPr>
        <w:t xml:space="preserve">GUIDANCE for 15.3 </w:t>
      </w:r>
    </w:p>
    <w:p w:rsidR="00000000" w:rsidDel="00000000" w:rsidP="00000000" w:rsidRDefault="00000000" w:rsidRPr="00000000" w14:paraId="00000088">
      <w:pPr>
        <w:rPr/>
      </w:pPr>
      <w:r w:rsidDel="00000000" w:rsidR="00000000" w:rsidRPr="00000000">
        <w:rPr>
          <w:rtl w:val="0"/>
        </w:rPr>
        <w:t xml:space="preserve">Among many forms of digital literacy that may be needed in your community, we call specific attention to online safety and privacy training because it is one of several fast-moving digital literacy topics that can be difficult to address in a culturally competent and up-to-the-moment way. We offer the following examples of possible ways online safety and privacy training may be addressed in your community: </w:t>
      </w:r>
    </w:p>
    <w:p w:rsidR="00000000" w:rsidDel="00000000" w:rsidP="00000000" w:rsidRDefault="00000000" w:rsidRPr="00000000" w14:paraId="00000089">
      <w:pPr>
        <w:numPr>
          <w:ilvl w:val="0"/>
          <w:numId w:val="1"/>
        </w:numPr>
        <w:spacing w:after="0" w:lineRule="auto"/>
        <w:ind w:left="720" w:hanging="360"/>
        <w:rPr/>
      </w:pPr>
      <w:r w:rsidDel="00000000" w:rsidR="00000000" w:rsidRPr="00000000">
        <w:rPr>
          <w:rtl w:val="0"/>
        </w:rPr>
        <w:t xml:space="preserve">How does local civic and faith leadership foster ongoing internet safety education? </w:t>
      </w:r>
    </w:p>
    <w:p w:rsidR="00000000" w:rsidDel="00000000" w:rsidP="00000000" w:rsidRDefault="00000000" w:rsidRPr="00000000" w14:paraId="0000008A">
      <w:pPr>
        <w:numPr>
          <w:ilvl w:val="0"/>
          <w:numId w:val="1"/>
        </w:numPr>
        <w:spacing w:after="0" w:lineRule="auto"/>
        <w:ind w:left="720" w:hanging="360"/>
        <w:rPr/>
      </w:pPr>
      <w:hyperlink r:id="rId18">
        <w:r w:rsidDel="00000000" w:rsidR="00000000" w:rsidRPr="00000000">
          <w:rPr>
            <w:color w:val="1155cc"/>
            <w:u w:val="single"/>
            <w:rtl w:val="0"/>
          </w:rPr>
          <w:t xml:space="preserve">The State Attorney General’s Office tracks scams</w:t>
        </w:r>
      </w:hyperlink>
      <w:r w:rsidDel="00000000" w:rsidR="00000000" w:rsidRPr="00000000">
        <w:rPr>
          <w:rtl w:val="0"/>
        </w:rPr>
        <w:t xml:space="preserve">. Are these reported or announced locally? </w:t>
      </w:r>
    </w:p>
    <w:p w:rsidR="00000000" w:rsidDel="00000000" w:rsidP="00000000" w:rsidRDefault="00000000" w:rsidRPr="00000000" w14:paraId="0000008B">
      <w:pPr>
        <w:numPr>
          <w:ilvl w:val="0"/>
          <w:numId w:val="1"/>
        </w:numPr>
        <w:spacing w:after="0" w:lineRule="auto"/>
        <w:ind w:left="720" w:hanging="360"/>
        <w:rPr>
          <w:u w:val="none"/>
        </w:rPr>
      </w:pPr>
      <w:r w:rsidDel="00000000" w:rsidR="00000000" w:rsidRPr="00000000">
        <w:rPr>
          <w:rtl w:val="0"/>
        </w:rPr>
        <w:t xml:space="preserve">Are there adequate online safety and privacy trainings for specific populations such as youth and elders? </w:t>
      </w:r>
      <w:r w:rsidDel="00000000" w:rsidR="00000000" w:rsidRPr="00000000">
        <w:rPr>
          <w:rtl w:val="0"/>
        </w:rPr>
      </w:r>
    </w:p>
    <w:p w:rsidR="00000000" w:rsidDel="00000000" w:rsidP="00000000" w:rsidRDefault="00000000" w:rsidRPr="00000000" w14:paraId="0000008C">
      <w:pPr>
        <w:numPr>
          <w:ilvl w:val="0"/>
          <w:numId w:val="1"/>
        </w:numPr>
        <w:spacing w:after="0" w:lineRule="auto"/>
        <w:ind w:left="720" w:hanging="360"/>
        <w:rPr/>
      </w:pPr>
      <w:r w:rsidDel="00000000" w:rsidR="00000000" w:rsidRPr="00000000">
        <w:rPr>
          <w:rtl w:val="0"/>
        </w:rPr>
        <w:t xml:space="preserve">Are their local people involved in state initiatives such as the </w:t>
      </w:r>
      <w:hyperlink r:id="rId19">
        <w:r w:rsidDel="00000000" w:rsidR="00000000" w:rsidRPr="00000000">
          <w:rPr>
            <w:color w:val="1155cc"/>
            <w:u w:val="single"/>
            <w:rtl w:val="0"/>
          </w:rPr>
          <w:t xml:space="preserve">Attorney General's Office Youth Internet Safety Task Force</w:t>
        </w:r>
      </w:hyperlink>
      <w:r w:rsidDel="00000000" w:rsidR="00000000" w:rsidRPr="00000000">
        <w:rPr>
          <w:rtl w:val="0"/>
        </w:rPr>
        <w:t xml:space="preserve">?</w:t>
      </w:r>
    </w:p>
    <w:p w:rsidR="00000000" w:rsidDel="00000000" w:rsidP="00000000" w:rsidRDefault="00000000" w:rsidRPr="00000000" w14:paraId="0000008D">
      <w:pPr>
        <w:numPr>
          <w:ilvl w:val="0"/>
          <w:numId w:val="1"/>
        </w:numPr>
        <w:spacing w:after="0" w:lineRule="auto"/>
        <w:ind w:left="720" w:hanging="360"/>
        <w:rPr/>
      </w:pPr>
      <w:r w:rsidDel="00000000" w:rsidR="00000000" w:rsidRPr="00000000">
        <w:rPr>
          <w:rtl w:val="0"/>
        </w:rPr>
        <w:t xml:space="preserve">Do existing online privacy and safety trainings cover state and federal consumer protections and remedies? </w:t>
      </w:r>
    </w:p>
    <w:p w:rsidR="00000000" w:rsidDel="00000000" w:rsidP="00000000" w:rsidRDefault="00000000" w:rsidRPr="00000000" w14:paraId="0000008E">
      <w:pPr>
        <w:numPr>
          <w:ilvl w:val="0"/>
          <w:numId w:val="1"/>
        </w:numPr>
        <w:spacing w:after="0" w:lineRule="auto"/>
        <w:ind w:left="720" w:hanging="360"/>
        <w:rPr/>
      </w:pPr>
      <w:r w:rsidDel="00000000" w:rsidR="00000000" w:rsidRPr="00000000">
        <w:rPr>
          <w:rtl w:val="0"/>
        </w:rPr>
        <w:t xml:space="preserve">Does your local nonprofit support center, small business support, community foundations, libraries, and workforce development sites include data privacy trainings? </w:t>
      </w:r>
    </w:p>
    <w:p w:rsidR="00000000" w:rsidDel="00000000" w:rsidP="00000000" w:rsidRDefault="00000000" w:rsidRPr="00000000" w14:paraId="0000008F">
      <w:pPr>
        <w:numPr>
          <w:ilvl w:val="0"/>
          <w:numId w:val="1"/>
        </w:numPr>
        <w:spacing w:after="0" w:lineRule="auto"/>
        <w:ind w:left="720" w:hanging="360"/>
        <w:rPr/>
      </w:pPr>
      <w:r w:rsidDel="00000000" w:rsidR="00000000" w:rsidRPr="00000000">
        <w:rPr>
          <w:rtl w:val="0"/>
        </w:rPr>
        <w:t xml:space="preserve">Do local businesses, government and community based organizations have adequate support to address data privacy and safety concerns relative to their operations? </w:t>
      </w:r>
    </w:p>
    <w:p w:rsidR="00000000" w:rsidDel="00000000" w:rsidP="00000000" w:rsidRDefault="00000000" w:rsidRPr="00000000" w14:paraId="00000090">
      <w:pPr>
        <w:numPr>
          <w:ilvl w:val="0"/>
          <w:numId w:val="1"/>
        </w:numPr>
        <w:spacing w:after="100" w:line="240" w:lineRule="auto"/>
        <w:ind w:left="720" w:hanging="360"/>
        <w:rPr/>
      </w:pPr>
      <w:r w:rsidDel="00000000" w:rsidR="00000000" w:rsidRPr="00000000">
        <w:rPr>
          <w:rtl w:val="0"/>
        </w:rPr>
        <w:t xml:space="preserve">Do community-based organizations have access to safety and privacy resources and training? </w:t>
      </w:r>
    </w:p>
    <w:p w:rsidR="00000000" w:rsidDel="00000000" w:rsidP="00000000" w:rsidRDefault="00000000" w:rsidRPr="00000000" w14:paraId="00000091">
      <w:pPr>
        <w:spacing w:after="100" w:line="240" w:lineRule="auto"/>
        <w:ind w:left="720" w:firstLine="0"/>
        <w:rPr/>
      </w:pPr>
      <w:r w:rsidDel="00000000" w:rsidR="00000000" w:rsidRPr="00000000">
        <w:rPr>
          <w:rtl w:val="0"/>
        </w:rPr>
      </w:r>
    </w:p>
    <w:p w:rsidR="00000000" w:rsidDel="00000000" w:rsidP="00000000" w:rsidRDefault="00000000" w:rsidRPr="00000000" w14:paraId="00000092">
      <w:pPr>
        <w:pStyle w:val="Heading3"/>
        <w:spacing w:before="100" w:line="240" w:lineRule="auto"/>
        <w:rPr>
          <w:b w:val="1"/>
          <w:color w:val="000000"/>
        </w:rPr>
      </w:pPr>
      <w:bookmarkStart w:colFirst="0" w:colLast="0" w:name="_35nkun2" w:id="14"/>
      <w:bookmarkEnd w:id="14"/>
      <w:r w:rsidDel="00000000" w:rsidR="00000000" w:rsidRPr="00000000">
        <w:rPr>
          <w:b w:val="1"/>
          <w:color w:val="000000"/>
          <w:rtl w:val="0"/>
        </w:rPr>
        <w:t xml:space="preserve">Examples of digital privacy and safety topics that may be covered in trainings:</w:t>
      </w:r>
    </w:p>
    <w:p w:rsidR="00000000" w:rsidDel="00000000" w:rsidP="00000000" w:rsidRDefault="00000000" w:rsidRPr="00000000" w14:paraId="00000093">
      <w:pPr>
        <w:numPr>
          <w:ilvl w:val="0"/>
          <w:numId w:val="3"/>
        </w:numPr>
        <w:spacing w:after="0" w:lineRule="auto"/>
        <w:ind w:left="720" w:hanging="360"/>
        <w:rPr/>
      </w:pPr>
      <w:r w:rsidDel="00000000" w:rsidR="00000000" w:rsidRPr="00000000">
        <w:rPr>
          <w:rtl w:val="0"/>
        </w:rPr>
        <w:t xml:space="preserve">Phishing schemes</w:t>
      </w:r>
    </w:p>
    <w:p w:rsidR="00000000" w:rsidDel="00000000" w:rsidP="00000000" w:rsidRDefault="00000000" w:rsidRPr="00000000" w14:paraId="00000094">
      <w:pPr>
        <w:numPr>
          <w:ilvl w:val="0"/>
          <w:numId w:val="3"/>
        </w:numPr>
        <w:spacing w:after="0" w:lineRule="auto"/>
        <w:ind w:left="720" w:hanging="360"/>
        <w:rPr/>
      </w:pPr>
      <w:r w:rsidDel="00000000" w:rsidR="00000000" w:rsidRPr="00000000">
        <w:rPr>
          <w:rtl w:val="0"/>
        </w:rPr>
        <w:t xml:space="preserve">Handline spam calls and text messages</w:t>
      </w:r>
    </w:p>
    <w:p w:rsidR="00000000" w:rsidDel="00000000" w:rsidP="00000000" w:rsidRDefault="00000000" w:rsidRPr="00000000" w14:paraId="00000095">
      <w:pPr>
        <w:numPr>
          <w:ilvl w:val="0"/>
          <w:numId w:val="3"/>
        </w:numPr>
        <w:spacing w:after="0" w:lineRule="auto"/>
        <w:ind w:left="720" w:hanging="360"/>
        <w:rPr/>
      </w:pPr>
      <w:r w:rsidDel="00000000" w:rsidR="00000000" w:rsidRPr="00000000">
        <w:rPr>
          <w:rtl w:val="0"/>
        </w:rPr>
        <w:t xml:space="preserve">Location privacy on your phone and/or computer</w:t>
      </w:r>
    </w:p>
    <w:p w:rsidR="00000000" w:rsidDel="00000000" w:rsidP="00000000" w:rsidRDefault="00000000" w:rsidRPr="00000000" w14:paraId="00000096">
      <w:pPr>
        <w:numPr>
          <w:ilvl w:val="0"/>
          <w:numId w:val="3"/>
        </w:numPr>
        <w:spacing w:after="0" w:lineRule="auto"/>
        <w:ind w:left="720" w:hanging="360"/>
        <w:rPr/>
      </w:pPr>
      <w:r w:rsidDel="00000000" w:rsidR="00000000" w:rsidRPr="00000000">
        <w:rPr>
          <w:rtl w:val="0"/>
        </w:rPr>
        <w:t xml:space="preserve">Protecting your accounts with two-factor authentication</w:t>
      </w:r>
    </w:p>
    <w:p w:rsidR="00000000" w:rsidDel="00000000" w:rsidP="00000000" w:rsidRDefault="00000000" w:rsidRPr="00000000" w14:paraId="00000097">
      <w:pPr>
        <w:numPr>
          <w:ilvl w:val="0"/>
          <w:numId w:val="3"/>
        </w:numPr>
        <w:spacing w:after="0" w:lineRule="auto"/>
        <w:ind w:left="720" w:hanging="360"/>
        <w:rPr/>
      </w:pPr>
      <w:r w:rsidDel="00000000" w:rsidR="00000000" w:rsidRPr="00000000">
        <w:rPr>
          <w:rtl w:val="0"/>
        </w:rPr>
        <w:t xml:space="preserve">Digital privacy in a digital world overview and tips </w:t>
      </w:r>
    </w:p>
    <w:p w:rsidR="00000000" w:rsidDel="00000000" w:rsidP="00000000" w:rsidRDefault="00000000" w:rsidRPr="00000000" w14:paraId="00000098">
      <w:pPr>
        <w:numPr>
          <w:ilvl w:val="0"/>
          <w:numId w:val="3"/>
        </w:numPr>
        <w:spacing w:after="0" w:lineRule="auto"/>
        <w:ind w:left="720" w:hanging="360"/>
        <w:rPr/>
      </w:pPr>
      <w:r w:rsidDel="00000000" w:rsidR="00000000" w:rsidRPr="00000000">
        <w:rPr>
          <w:rtl w:val="0"/>
        </w:rPr>
        <w:t xml:space="preserve">What to do if your accounts are stolen </w:t>
      </w:r>
    </w:p>
    <w:p w:rsidR="00000000" w:rsidDel="00000000" w:rsidP="00000000" w:rsidRDefault="00000000" w:rsidRPr="00000000" w14:paraId="00000099">
      <w:pPr>
        <w:numPr>
          <w:ilvl w:val="0"/>
          <w:numId w:val="3"/>
        </w:numPr>
        <w:spacing w:after="0" w:lineRule="auto"/>
        <w:ind w:left="720" w:hanging="360"/>
        <w:rPr/>
      </w:pPr>
      <w:r w:rsidDel="00000000" w:rsidR="00000000" w:rsidRPr="00000000">
        <w:rPr>
          <w:rtl w:val="0"/>
        </w:rPr>
        <w:t xml:space="preserve">How to avoid being hacked </w:t>
      </w:r>
    </w:p>
    <w:p w:rsidR="00000000" w:rsidDel="00000000" w:rsidP="00000000" w:rsidRDefault="00000000" w:rsidRPr="00000000" w14:paraId="0000009A">
      <w:pPr>
        <w:numPr>
          <w:ilvl w:val="0"/>
          <w:numId w:val="3"/>
        </w:numPr>
        <w:spacing w:after="0" w:lineRule="auto"/>
        <w:ind w:left="720" w:hanging="360"/>
        <w:rPr/>
      </w:pPr>
      <w:r w:rsidDel="00000000" w:rsidR="00000000" w:rsidRPr="00000000">
        <w:rPr>
          <w:rtl w:val="0"/>
        </w:rPr>
        <w:t xml:space="preserve">Sharing and handling personally sensitive information</w:t>
      </w:r>
    </w:p>
    <w:p w:rsidR="00000000" w:rsidDel="00000000" w:rsidP="00000000" w:rsidRDefault="00000000" w:rsidRPr="00000000" w14:paraId="0000009B">
      <w:pPr>
        <w:numPr>
          <w:ilvl w:val="0"/>
          <w:numId w:val="3"/>
        </w:numPr>
        <w:spacing w:after="0" w:lineRule="auto"/>
        <w:ind w:left="720" w:hanging="360"/>
        <w:rPr/>
      </w:pPr>
      <w:r w:rsidDel="00000000" w:rsidR="00000000" w:rsidRPr="00000000">
        <w:rPr>
          <w:rtl w:val="0"/>
        </w:rPr>
        <w:t xml:space="preserve">What to do if your computer has a virus</w:t>
      </w:r>
    </w:p>
    <w:p w:rsidR="00000000" w:rsidDel="00000000" w:rsidP="00000000" w:rsidRDefault="00000000" w:rsidRPr="00000000" w14:paraId="0000009C">
      <w:pPr>
        <w:numPr>
          <w:ilvl w:val="0"/>
          <w:numId w:val="3"/>
        </w:numPr>
        <w:spacing w:after="0" w:lineRule="auto"/>
        <w:ind w:left="720" w:hanging="360"/>
        <w:rPr/>
      </w:pPr>
      <w:r w:rsidDel="00000000" w:rsidR="00000000" w:rsidRPr="00000000">
        <w:rPr>
          <w:rtl w:val="0"/>
        </w:rPr>
        <w:t xml:space="preserve">Surveillance at work and school </w:t>
      </w:r>
    </w:p>
    <w:p w:rsidR="00000000" w:rsidDel="00000000" w:rsidP="00000000" w:rsidRDefault="00000000" w:rsidRPr="00000000" w14:paraId="0000009D">
      <w:pPr>
        <w:numPr>
          <w:ilvl w:val="0"/>
          <w:numId w:val="3"/>
        </w:numPr>
        <w:spacing w:after="0" w:lineRule="auto"/>
        <w:ind w:left="720" w:hanging="360"/>
        <w:rPr/>
      </w:pPr>
      <w:r w:rsidDel="00000000" w:rsidR="00000000" w:rsidRPr="00000000">
        <w:rPr>
          <w:rtl w:val="0"/>
        </w:rPr>
        <w:t xml:space="preserve">Protecting your privacy on social media </w:t>
      </w:r>
    </w:p>
    <w:p w:rsidR="00000000" w:rsidDel="00000000" w:rsidP="00000000" w:rsidRDefault="00000000" w:rsidRPr="00000000" w14:paraId="0000009E">
      <w:pPr>
        <w:numPr>
          <w:ilvl w:val="0"/>
          <w:numId w:val="3"/>
        </w:numPr>
        <w:spacing w:after="0" w:lineRule="auto"/>
        <w:ind w:left="720" w:hanging="360"/>
        <w:rPr/>
      </w:pPr>
      <w:r w:rsidDel="00000000" w:rsidR="00000000" w:rsidRPr="00000000">
        <w:rPr>
          <w:rtl w:val="0"/>
        </w:rPr>
        <w:t xml:space="preserve">Safeguarding your phone and/or computer </w:t>
      </w:r>
    </w:p>
    <w:p w:rsidR="00000000" w:rsidDel="00000000" w:rsidP="00000000" w:rsidRDefault="00000000" w:rsidRPr="00000000" w14:paraId="0000009F">
      <w:pPr>
        <w:numPr>
          <w:ilvl w:val="0"/>
          <w:numId w:val="3"/>
        </w:numPr>
        <w:spacing w:after="0" w:lineRule="auto"/>
        <w:ind w:left="720" w:hanging="360"/>
        <w:rPr/>
      </w:pPr>
      <w:r w:rsidDel="00000000" w:rsidR="00000000" w:rsidRPr="00000000">
        <w:rPr>
          <w:rtl w:val="0"/>
        </w:rPr>
        <w:t xml:space="preserve">Consumer protections and remedies </w:t>
      </w:r>
    </w:p>
    <w:p w:rsidR="00000000" w:rsidDel="00000000" w:rsidP="00000000" w:rsidRDefault="00000000" w:rsidRPr="00000000" w14:paraId="000000A0">
      <w:pPr>
        <w:numPr>
          <w:ilvl w:val="0"/>
          <w:numId w:val="3"/>
        </w:numPr>
        <w:ind w:left="720" w:hanging="360"/>
        <w:rPr/>
      </w:pPr>
      <w:r w:rsidDel="00000000" w:rsidR="00000000" w:rsidRPr="00000000">
        <w:rPr>
          <w:rtl w:val="0"/>
        </w:rPr>
        <w:t xml:space="preserve">Records keeping and data handling practices and precautions </w:t>
      </w:r>
    </w:p>
    <w:p w:rsidR="00000000" w:rsidDel="00000000" w:rsidP="00000000" w:rsidRDefault="00000000" w:rsidRPr="00000000" w14:paraId="000000A1">
      <w:pPr>
        <w:pStyle w:val="Heading2"/>
        <w:spacing w:after="240" w:before="240" w:lineRule="auto"/>
        <w:rPr/>
      </w:pPr>
      <w:bookmarkStart w:colFirst="0" w:colLast="0" w:name="_1ksv4uv" w:id="15"/>
      <w:bookmarkEnd w:id="15"/>
      <w:r w:rsidDel="00000000" w:rsidR="00000000" w:rsidRPr="00000000">
        <w:rPr>
          <w:rtl w:val="0"/>
        </w:rPr>
        <w:t xml:space="preserve">15.4 What are the gaps in local online government, community, and cultural services?</w:t>
      </w:r>
    </w:p>
    <w:p w:rsidR="00000000" w:rsidDel="00000000" w:rsidP="00000000" w:rsidRDefault="00000000" w:rsidRPr="00000000" w14:paraId="000000A2">
      <w:pPr>
        <w:rPr/>
      </w:pPr>
      <w:r w:rsidDel="00000000" w:rsidR="00000000" w:rsidRPr="00000000">
        <w:rPr>
          <w:rtl w:val="0"/>
        </w:rPr>
        <w:t xml:space="preserve">Those who run, manage, and otherwise care for local government, community, and cultural services and those who rely upon and make use of these vital local services are important informants in your digital equity assessment. Both groups (providers and users) will have different insights into digital equity gaps relevant to these services. </w:t>
      </w:r>
    </w:p>
    <w:p w:rsidR="00000000" w:rsidDel="00000000" w:rsidP="00000000" w:rsidRDefault="00000000" w:rsidRPr="00000000" w14:paraId="000000A3">
      <w:pPr>
        <w:rPr/>
      </w:pPr>
      <w:r w:rsidDel="00000000" w:rsidR="00000000" w:rsidRPr="00000000">
        <w:rPr>
          <w:rtl w:val="0"/>
        </w:rPr>
        <w:t xml:space="preserve">Those who run such services may be experiencing resourcing issues around such digital equity concerns as accessibility, performing regular usability testing and research around key systems and services their diverse publics rely upon, keeping data safe, and so forth. </w:t>
      </w:r>
    </w:p>
    <w:p w:rsidR="00000000" w:rsidDel="00000000" w:rsidP="00000000" w:rsidRDefault="00000000" w:rsidRPr="00000000" w14:paraId="000000A4">
      <w:pPr>
        <w:ind w:left="0" w:firstLine="0"/>
        <w:rPr>
          <w:b w:val="1"/>
        </w:rPr>
      </w:pPr>
      <w:r w:rsidDel="00000000" w:rsidR="00000000" w:rsidRPr="00000000">
        <w:rPr>
          <w:b w:val="1"/>
          <w:rtl w:val="0"/>
        </w:rPr>
        <w:t xml:space="preserve">Community anchor institutions such as local government, community services, and cultural services may be facing inadequate capacity to provide reliable online services, such as the less-than-needed ability to: </w:t>
      </w:r>
    </w:p>
    <w:p w:rsidR="00000000" w:rsidDel="00000000" w:rsidP="00000000" w:rsidRDefault="00000000" w:rsidRPr="00000000" w14:paraId="000000A5">
      <w:pPr>
        <w:numPr>
          <w:ilvl w:val="1"/>
          <w:numId w:val="2"/>
        </w:numPr>
        <w:spacing w:after="0" w:lineRule="auto"/>
        <w:ind w:left="1440" w:hanging="360"/>
        <w:rPr/>
      </w:pPr>
      <w:r w:rsidDel="00000000" w:rsidR="00000000" w:rsidRPr="00000000">
        <w:rPr>
          <w:rtl w:val="0"/>
        </w:rPr>
        <w:t xml:space="preserve">Make online service accessible to those with disabilities </w:t>
      </w:r>
    </w:p>
    <w:p w:rsidR="00000000" w:rsidDel="00000000" w:rsidP="00000000" w:rsidRDefault="00000000" w:rsidRPr="00000000" w14:paraId="000000A6">
      <w:pPr>
        <w:numPr>
          <w:ilvl w:val="1"/>
          <w:numId w:val="2"/>
        </w:numPr>
        <w:spacing w:after="0" w:lineRule="auto"/>
        <w:ind w:left="1440" w:hanging="360"/>
        <w:rPr/>
      </w:pPr>
      <w:r w:rsidDel="00000000" w:rsidR="00000000" w:rsidRPr="00000000">
        <w:rPr>
          <w:rtl w:val="0"/>
        </w:rPr>
        <w:t xml:space="preserve">Keep information current </w:t>
      </w:r>
    </w:p>
    <w:p w:rsidR="00000000" w:rsidDel="00000000" w:rsidP="00000000" w:rsidRDefault="00000000" w:rsidRPr="00000000" w14:paraId="000000A7">
      <w:pPr>
        <w:numPr>
          <w:ilvl w:val="1"/>
          <w:numId w:val="2"/>
        </w:numPr>
        <w:spacing w:after="0" w:lineRule="auto"/>
        <w:ind w:left="1440" w:hanging="360"/>
        <w:rPr/>
      </w:pPr>
      <w:r w:rsidDel="00000000" w:rsidR="00000000" w:rsidRPr="00000000">
        <w:rPr>
          <w:rtl w:val="0"/>
        </w:rPr>
        <w:t xml:space="preserve">Formulate and abide by digital equity policy </w:t>
      </w:r>
    </w:p>
    <w:p w:rsidR="00000000" w:rsidDel="00000000" w:rsidP="00000000" w:rsidRDefault="00000000" w:rsidRPr="00000000" w14:paraId="000000A8">
      <w:pPr>
        <w:numPr>
          <w:ilvl w:val="1"/>
          <w:numId w:val="2"/>
        </w:numPr>
        <w:spacing w:after="0" w:lineRule="auto"/>
        <w:ind w:left="1440" w:hanging="360"/>
        <w:rPr/>
      </w:pPr>
      <w:r w:rsidDel="00000000" w:rsidR="00000000" w:rsidRPr="00000000">
        <w:rPr>
          <w:rtl w:val="0"/>
        </w:rPr>
        <w:t xml:space="preserve">Attract and retain design and technology talent</w:t>
      </w:r>
    </w:p>
    <w:p w:rsidR="00000000" w:rsidDel="00000000" w:rsidP="00000000" w:rsidRDefault="00000000" w:rsidRPr="00000000" w14:paraId="000000A9">
      <w:pPr>
        <w:numPr>
          <w:ilvl w:val="1"/>
          <w:numId w:val="2"/>
        </w:numPr>
        <w:ind w:left="1440" w:hanging="360"/>
        <w:rPr/>
      </w:pPr>
      <w:r w:rsidDel="00000000" w:rsidR="00000000" w:rsidRPr="00000000">
        <w:rPr>
          <w:rtl w:val="0"/>
        </w:rPr>
        <w:t xml:space="preserve">Implement and maintain adequate online services or equipment</w:t>
      </w:r>
    </w:p>
    <w:p w:rsidR="00000000" w:rsidDel="00000000" w:rsidP="00000000" w:rsidRDefault="00000000" w:rsidRPr="00000000" w14:paraId="000000AA">
      <w:pPr>
        <w:rPr/>
      </w:pPr>
      <w:r w:rsidDel="00000000" w:rsidR="00000000" w:rsidRPr="00000000">
        <w:rPr>
          <w:rtl w:val="0"/>
        </w:rPr>
        <w:t xml:space="preserve">Several national organizations that respectively serve local government, community, and/or cultural organizations have come out with digital equity analysis and strategy that may be helpful for formulating strategies in your community such as </w:t>
      </w:r>
      <w:hyperlink r:id="rId20">
        <w:r w:rsidDel="00000000" w:rsidR="00000000" w:rsidRPr="00000000">
          <w:rPr>
            <w:color w:val="1155cc"/>
            <w:u w:val="single"/>
            <w:rtl w:val="0"/>
          </w:rPr>
          <w:t xml:space="preserve">National League of Cities</w:t>
        </w:r>
      </w:hyperlink>
      <w:r w:rsidDel="00000000" w:rsidR="00000000" w:rsidRPr="00000000">
        <w:rPr>
          <w:rtl w:val="0"/>
        </w:rPr>
        <w:t xml:space="preserve">. Reviewing the resources from these national groups may be particularly helpful for anticipating digital equity gaps, providing possible policy directions to pursue, and future-forward infrastructure designs respective to local online services. They may also be helpful in linking the trends you see in your community to trends experienced in other communities, thereby helping for advocacy and resourcing around the top common issues faced by local online government, community, and cultural services.  </w:t>
        <w:tab/>
        <w:br w:type="textWrapping"/>
      </w:r>
    </w:p>
    <w:p w:rsidR="00000000" w:rsidDel="00000000" w:rsidP="00000000" w:rsidRDefault="00000000" w:rsidRPr="00000000" w14:paraId="000000AB">
      <w:pPr>
        <w:rPr>
          <w:highlight w:val="yellow"/>
        </w:rPr>
      </w:pPr>
      <w:r w:rsidDel="00000000" w:rsidR="00000000" w:rsidRPr="00000000">
        <w:rPr>
          <w:rtl w:val="0"/>
        </w:rPr>
      </w:r>
    </w:p>
    <w:sectPr>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Times New Roman" w:cs="Times New Roman" w:eastAsia="Times New Roman" w:hAnsi="Times New Roman"/>
      <w:color w:val="a42129"/>
      <w:sz w:val="28"/>
      <w:szCs w:val="28"/>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lc.org/?s=Digital+Equity+" TargetMode="External"/><Relationship Id="rId11" Type="http://schemas.openxmlformats.org/officeDocument/2006/relationships/hyperlink" Target="https://docs.google.com/spreadsheets/d/1rhHTDlClFP3hYVauk0DdI6mg2MZB1NgB44CQNqgVa14/edit#gid=1111251369" TargetMode="External"/><Relationship Id="rId10" Type="http://schemas.openxmlformats.org/officeDocument/2006/relationships/hyperlink" Target="https://docs.google.com/spreadsheets/d/1rhHTDlClFP3hYVauk0DdI6mg2MZB1NgB44CQNqgVa14/edit#gid=1111251369" TargetMode="External"/><Relationship Id="rId21" Type="http://schemas.openxmlformats.org/officeDocument/2006/relationships/footer" Target="footer1.xml"/><Relationship Id="rId13" Type="http://schemas.openxmlformats.org/officeDocument/2006/relationships/hyperlink" Target="https://lawfilesext.leg.wa.gov/biennium/2021-22/Pdf/Bill%20Reports/House/1723-S2.E%20HBR%20FBR%2022.pdf?q=20230507110621" TargetMode="External"/><Relationship Id="rId12" Type="http://schemas.openxmlformats.org/officeDocument/2006/relationships/hyperlink" Target="https://docs.google.com/spreadsheets/d/1rhHTDlClFP3hYVauk0DdI6mg2MZB1NgB44CQNqgVa14/edit#gid=18294465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rhHTDlClFP3hYVauk0DdI6mg2MZB1NgB44CQNqgVa14/edit#gid=437211062" TargetMode="External"/><Relationship Id="rId15" Type="http://schemas.openxmlformats.org/officeDocument/2006/relationships/hyperlink" Target="https://docs.google.com/spreadsheets/d/1rhHTDlClFP3hYVauk0DdI6mg2MZB1NgB44CQNqgVa14/edit#gid=437211062" TargetMode="External"/><Relationship Id="rId14" Type="http://schemas.openxmlformats.org/officeDocument/2006/relationships/hyperlink" Target="https://ocio.wa.gov/policy/minimum-accessibility-standard%20https://www.ocio.wa.gov/sites/default/files/public/policies/188_Accessibility_Interim_TSB_Sub_201705_3.pdf" TargetMode="External"/><Relationship Id="rId17" Type="http://schemas.openxmlformats.org/officeDocument/2006/relationships/hyperlink" Target="https://www.fcc.gov/acp" TargetMode="External"/><Relationship Id="rId16" Type="http://schemas.openxmlformats.org/officeDocument/2006/relationships/hyperlink" Target="https://docs.google.com/spreadsheets/d/1rhHTDlClFP3hYVauk0DdI6mg2MZB1NgB44CQNqgVa14/edit#gid=1111251369" TargetMode="External"/><Relationship Id="rId5" Type="http://schemas.openxmlformats.org/officeDocument/2006/relationships/styles" Target="styles.xml"/><Relationship Id="rId19" Type="http://schemas.openxmlformats.org/officeDocument/2006/relationships/hyperlink" Target="https://www.atg.wa.gov/kids-and-internet" TargetMode="External"/><Relationship Id="rId6" Type="http://schemas.openxmlformats.org/officeDocument/2006/relationships/image" Target="media/image1.png"/><Relationship Id="rId18" Type="http://schemas.openxmlformats.org/officeDocument/2006/relationships/hyperlink" Target="https://www.atg.wa.gov/news/news-releases/attorney-general-rob-mckenna-kicks-internet-safety-month" TargetMode="External"/><Relationship Id="rId7" Type="http://schemas.openxmlformats.org/officeDocument/2006/relationships/hyperlink" Target="https://docs.google.com/spreadsheets/d/1rhHTDlClFP3hYVauk0DdI6mg2MZB1NgB44CQNqgVa14/edit#gid=1002053569" TargetMode="External"/><Relationship Id="rId8" Type="http://schemas.openxmlformats.org/officeDocument/2006/relationships/hyperlink" Target="https://docs.google.com/spreadsheets/d/1rhHTDlClFP3hYVauk0DdI6mg2MZB1NgB44CQNqgVa14/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