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Rule="auto"/>
        <w:rPr>
          <w:rFonts w:ascii="Times New Roman" w:cs="Times New Roman" w:eastAsia="Times New Roman" w:hAnsi="Times New Roman"/>
          <w:color w:val="980000"/>
          <w:sz w:val="46"/>
          <w:szCs w:val="46"/>
        </w:rPr>
      </w:pPr>
      <w:bookmarkStart w:colFirst="0" w:colLast="0" w:name="_xme54c8bzn65" w:id="0"/>
      <w:bookmarkEnd w:id="0"/>
      <w:r w:rsidDel="00000000" w:rsidR="00000000" w:rsidRPr="00000000">
        <w:rPr>
          <w:rFonts w:ascii="Times New Roman" w:cs="Times New Roman" w:eastAsia="Times New Roman" w:hAnsi="Times New Roman"/>
          <w:sz w:val="22"/>
          <w:szCs w:val="22"/>
        </w:rPr>
        <w:drawing>
          <wp:inline distB="19050" distT="19050" distL="19050" distR="19050">
            <wp:extent cx="5943600" cy="12477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47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widowControl w:val="0"/>
        <w:spacing w:line="240" w:lineRule="auto"/>
        <w:rPr>
          <w:rFonts w:ascii="Times New Roman" w:cs="Times New Roman" w:eastAsia="Times New Roman" w:hAnsi="Times New Roman"/>
          <w:b w:val="1"/>
          <w:color w:val="980000"/>
          <w:sz w:val="46"/>
          <w:szCs w:val="46"/>
        </w:rPr>
      </w:pPr>
      <w:bookmarkStart w:colFirst="0" w:colLast="0" w:name="_bp1ts0z8i2qn" w:id="1"/>
      <w:bookmarkEnd w:id="1"/>
      <w:r w:rsidDel="00000000" w:rsidR="00000000" w:rsidRPr="00000000">
        <w:rPr>
          <w:rFonts w:ascii="Times New Roman" w:cs="Times New Roman" w:eastAsia="Times New Roman" w:hAnsi="Times New Roman"/>
          <w:b w:val="1"/>
          <w:color w:val="980000"/>
          <w:sz w:val="46"/>
          <w:szCs w:val="46"/>
          <w:rtl w:val="0"/>
        </w:rPr>
        <w:t xml:space="preserve">High Level Guidance on Assessing Affordable Internet for Your Community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Sabrina Roach, Dharma Dailey, Dustin Loup, April 30, 2023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Style w:val="Heading2"/>
        <w:widowControl w:val="0"/>
        <w:spacing w:line="240" w:lineRule="auto"/>
        <w:rPr>
          <w:rFonts w:ascii="Times New Roman" w:cs="Times New Roman" w:eastAsia="Times New Roman" w:hAnsi="Times New Roman"/>
          <w:b w:val="1"/>
          <w:color w:val="980000"/>
          <w:sz w:val="36"/>
          <w:szCs w:val="36"/>
        </w:rPr>
      </w:pPr>
      <w:bookmarkStart w:colFirst="0" w:colLast="0" w:name="_s7kvjactajfq" w:id="2"/>
      <w:bookmarkEnd w:id="2"/>
      <w:r w:rsidDel="00000000" w:rsidR="00000000" w:rsidRPr="00000000">
        <w:rPr>
          <w:rFonts w:ascii="Times New Roman" w:cs="Times New Roman" w:eastAsia="Times New Roman" w:hAnsi="Times New Roman"/>
          <w:b w:val="1"/>
          <w:color w:val="980000"/>
          <w:sz w:val="36"/>
          <w:szCs w:val="36"/>
          <w:rtl w:val="0"/>
        </w:rPr>
        <w:t xml:space="preserve">Choosing Needs Measures For Your Community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important cornerstone of your community’s digital equity strategy will be to determine the affordability of home broadband service for your community. There are a few key considerations to making this determination that your BAT should be aware of:</w:t>
      </w:r>
    </w:p>
    <w:p w:rsidR="00000000" w:rsidDel="00000000" w:rsidP="00000000" w:rsidRDefault="00000000" w:rsidRPr="00000000" w14:paraId="000000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Each community is free to determine what constitutes affordable home broadband by one of several measures.  </w:t>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write in Spring 2023, there is no national-level or state-level agreed-upon consensus definition for what constitutes affordable home internet. This means that individual communities are left to define this cornerstone of community-level digital equity assessment for themselves by one of several measures. </w:t>
      </w:r>
    </w:p>
    <w:p w:rsidR="00000000" w:rsidDel="00000000" w:rsidP="00000000" w:rsidRDefault="00000000" w:rsidRPr="00000000" w14:paraId="000000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Washington state and federal guidance reference different measures to touch on affordability. </w:t>
      </w:r>
    </w:p>
    <w:p w:rsidR="00000000" w:rsidDel="00000000" w:rsidP="00000000" w:rsidRDefault="00000000" w:rsidRPr="00000000" w14:paraId="0000000E">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and federal guidance on digital equity link the question of affordable home broadband to different income thresholds– some of which also account for cost of living and some that don’t. We touch on the most important ones in current state and federal Digital Equity guidance below. It’s important to note that each one of these measures can be a rather blunt instrument for assessing actual human need. We suggest that you review the different ways of making these assessments for your community as they are respectively tied to different funding opportunities and other interventions. However, we also suggest that you do not take the numbers for your community at face-value. Instead, consider them as one data point in the knowledge base that your  BAT team is accruing about the needs of your community. If you are skeptical that a measure captures the need based on your other sources of data (such as the many conversations you’ve had with different kinds of community leaders and service providers), it could be helpful to document your questions or concerns about the accuracy of these suggested measures based on your situated community knowledge as part of your plan. </w:t>
      </w:r>
    </w:p>
    <w:p w:rsidR="00000000" w:rsidDel="00000000" w:rsidP="00000000" w:rsidRDefault="00000000" w:rsidRPr="00000000" w14:paraId="0000000F">
      <w:pPr>
        <w:widowControl w:val="0"/>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Style w:val="Heading2"/>
        <w:widowControl w:val="0"/>
        <w:spacing w:line="240" w:lineRule="auto"/>
        <w:rPr>
          <w:rFonts w:ascii="Times New Roman" w:cs="Times New Roman" w:eastAsia="Times New Roman" w:hAnsi="Times New Roman"/>
          <w:b w:val="1"/>
          <w:color w:val="980000"/>
        </w:rPr>
      </w:pPr>
      <w:bookmarkStart w:colFirst="0" w:colLast="0" w:name="_p1od5t9pu03" w:id="3"/>
      <w:bookmarkEnd w:id="3"/>
      <w:r w:rsidDel="00000000" w:rsidR="00000000" w:rsidRPr="00000000">
        <w:rPr>
          <w:rFonts w:ascii="Times New Roman" w:cs="Times New Roman" w:eastAsia="Times New Roman" w:hAnsi="Times New Roman"/>
          <w:b w:val="1"/>
          <w:color w:val="980000"/>
          <w:rtl w:val="0"/>
        </w:rPr>
        <w:t xml:space="preserve">Key Needs Measures in Washington State Digital Equity Policy </w:t>
      </w:r>
    </w:p>
    <w:p w:rsidR="00000000" w:rsidDel="00000000" w:rsidP="00000000" w:rsidRDefault="00000000" w:rsidRPr="00000000" w14:paraId="00000011">
      <w:pPr>
        <w:widowControl w:val="0"/>
        <w:spacing w:line="240" w:lineRule="auto"/>
        <w:ind w:left="0" w:firstLine="0"/>
        <w:rPr>
          <w:rFonts w:ascii="Times New Roman" w:cs="Times New Roman" w:eastAsia="Times New Roman" w:hAnsi="Times New Roman"/>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Who Uses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sz w:val="24"/>
                <w:szCs w:val="24"/>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 of the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U.S. Federal Poverty Level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used to our knowledge in assessing broadband affordability, but curiously was provided by NTIA as a base layer for the maps they made available.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cost of a bare-bones low-cost home-cooked diet (beans and rice, peanut butter) x 3. Does not consider any other expenses besides food. Is not tied to living expenses.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150% of the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U.S. Federal Poverty Level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16" w:lineRule="auto"/>
              <w:rPr>
                <w:rFonts w:ascii="Times New Roman" w:cs="Times New Roman" w:eastAsia="Times New Roman" w:hAnsi="Times New Roman"/>
                <w:color w:val="434343"/>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NTIA</w:t>
              </w:r>
            </w:hyperlink>
            <w:r w:rsidDel="00000000" w:rsidR="00000000" w:rsidRPr="00000000">
              <w:rPr>
                <w:rFonts w:ascii="Times New Roman" w:cs="Times New Roman" w:eastAsia="Times New Roman" w:hAnsi="Times New Roman"/>
                <w:color w:val="434343"/>
                <w:sz w:val="24"/>
                <w:szCs w:val="24"/>
                <w:rtl w:val="0"/>
              </w:rPr>
              <w:t xml:space="preserve"> and </w:t>
            </w:r>
            <w:hyperlink r:id="rId10">
              <w:r w:rsidDel="00000000" w:rsidR="00000000" w:rsidRPr="00000000">
                <w:rPr>
                  <w:rFonts w:ascii="Times New Roman" w:cs="Times New Roman" w:eastAsia="Times New Roman" w:hAnsi="Times New Roman"/>
                  <w:color w:val="1155cc"/>
                  <w:sz w:val="24"/>
                  <w:szCs w:val="24"/>
                  <w:u w:val="single"/>
                  <w:rtl w:val="0"/>
                </w:rPr>
                <w:t xml:space="preserve">BEAD</w:t>
              </w:r>
            </w:hyperlink>
            <w:r w:rsidDel="00000000" w:rsidR="00000000" w:rsidRPr="00000000">
              <w:rPr>
                <w:rtl w:val="0"/>
              </w:rPr>
            </w:r>
          </w:p>
          <w:p w:rsidR="00000000" w:rsidDel="00000000" w:rsidP="00000000" w:rsidRDefault="00000000" w:rsidRPr="00000000" w14:paraId="0000001A">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people in your area are at or below 150% income of the federal poverty</w:t>
            </w:r>
            <w:r w:rsidDel="00000000" w:rsidR="00000000" w:rsidRPr="00000000">
              <w:rPr>
                <w:rFonts w:ascii="Times New Roman" w:cs="Times New Roman" w:eastAsia="Times New Roman" w:hAnsi="Times New Roman"/>
                <w:sz w:val="24"/>
                <w:szCs w:val="24"/>
                <w:rtl w:val="0"/>
              </w:rPr>
              <w:t xml:space="preserve"> level. Does not consider cost of living expenses.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1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434343"/>
                <w:sz w:val="24"/>
                <w:szCs w:val="24"/>
                <w:rtl w:val="0"/>
              </w:rPr>
              <w:t xml:space="preserve">200% of the </w:t>
            </w:r>
            <w:hyperlink r:id="rId11">
              <w:r w:rsidDel="00000000" w:rsidR="00000000" w:rsidRPr="00000000">
                <w:rPr>
                  <w:rFonts w:ascii="Times New Roman" w:cs="Times New Roman" w:eastAsia="Times New Roman" w:hAnsi="Times New Roman"/>
                  <w:color w:val="1155cc"/>
                  <w:sz w:val="24"/>
                  <w:szCs w:val="24"/>
                  <w:u w:val="single"/>
                  <w:rtl w:val="0"/>
                </w:rPr>
                <w:t xml:space="preserve">U.S. Federal Poverty Level</w:t>
              </w:r>
            </w:hyperlink>
            <w:r w:rsidDel="00000000" w:rsidR="00000000" w:rsidRPr="00000000">
              <w:rPr>
                <w:rFonts w:ascii="Times New Roman" w:cs="Times New Roman" w:eastAsia="Times New Roman" w:hAnsi="Times New Roman"/>
                <w:color w:val="434343"/>
                <w:sz w:val="24"/>
                <w:szCs w:val="24"/>
                <w:rtl w:val="0"/>
              </w:rPr>
              <w:t xml:space="preserve"> is tied to the Federal Communications Commission’s Affordable Connectivity Program.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FCC’s </w:t>
            </w:r>
            <w:hyperlink r:id="rId12">
              <w:r w:rsidDel="00000000" w:rsidR="00000000" w:rsidRPr="00000000">
                <w:rPr>
                  <w:rFonts w:ascii="Times New Roman" w:cs="Times New Roman" w:eastAsia="Times New Roman" w:hAnsi="Times New Roman"/>
                  <w:b w:val="1"/>
                  <w:color w:val="1155cc"/>
                  <w:sz w:val="24"/>
                  <w:szCs w:val="24"/>
                  <w:u w:val="single"/>
                  <w:rtl w:val="0"/>
                </w:rPr>
                <w:t xml:space="preserve">Affordable Connectivity Program</w:t>
              </w:r>
            </w:hyperlink>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people in your area are at or below 200% income of the federal poverty level. Does not consider cost of living expenses.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Washington State </w:t>
            </w:r>
            <w:r w:rsidDel="00000000" w:rsidR="00000000" w:rsidRPr="00000000">
              <w:rPr>
                <w:rFonts w:ascii="Times New Roman" w:cs="Times New Roman" w:eastAsia="Times New Roman" w:hAnsi="Times New Roman"/>
                <w:color w:val="434343"/>
                <w:sz w:val="24"/>
                <w:szCs w:val="24"/>
                <w:rtl w:val="0"/>
              </w:rPr>
              <w:t xml:space="preserve">Department of Health and Human Services definition of low-income household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4343"/>
                <w:sz w:val="24"/>
                <w:szCs w:val="24"/>
                <w:rtl w:val="0"/>
              </w:rPr>
              <w:t xml:space="preserve">Washington State Digital Equity Act of 2022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1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434343"/>
                <w:sz w:val="24"/>
                <w:szCs w:val="24"/>
                <w:rtl w:val="0"/>
              </w:rPr>
              <w:t xml:space="preserve">Considers individual income in relation to local area median income.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Washington </w:t>
            </w:r>
            <w:hyperlink r:id="rId13">
              <w:r w:rsidDel="00000000" w:rsidR="00000000" w:rsidRPr="00000000">
                <w:rPr>
                  <w:rFonts w:ascii="Times New Roman" w:cs="Times New Roman" w:eastAsia="Times New Roman" w:hAnsi="Times New Roman"/>
                  <w:color w:val="1155cc"/>
                  <w:sz w:val="24"/>
                  <w:szCs w:val="24"/>
                  <w:u w:val="single"/>
                  <w:rtl w:val="0"/>
                </w:rPr>
                <w:t xml:space="preserve">Self-Sufficiency Standard </w:t>
              </w:r>
            </w:hyperlink>
            <w:r w:rsidDel="00000000" w:rsidR="00000000" w:rsidRPr="00000000">
              <w:rPr>
                <w:rFonts w:ascii="Times New Roman" w:cs="Times New Roman" w:eastAsia="Times New Roman" w:hAnsi="Times New Roman"/>
                <w:sz w:val="24"/>
                <w:szCs w:val="24"/>
                <w:rtl w:val="0"/>
              </w:rPr>
              <w:t xml:space="preserve">(or </w:t>
            </w:r>
            <w:hyperlink r:id="rId14">
              <w:r w:rsidDel="00000000" w:rsidR="00000000" w:rsidRPr="00000000">
                <w:rPr>
                  <w:rFonts w:ascii="Times New Roman" w:cs="Times New Roman" w:eastAsia="Times New Roman" w:hAnsi="Times New Roman"/>
                  <w:color w:val="1155cc"/>
                  <w:sz w:val="24"/>
                  <w:szCs w:val="24"/>
                  <w:u w:val="single"/>
                  <w:rtl w:val="0"/>
                </w:rPr>
                <w:t xml:space="preserve">Self-Sufficiency Calculator</w:t>
              </w:r>
            </w:hyperlink>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4343"/>
                <w:sz w:val="24"/>
                <w:szCs w:val="24"/>
                <w:rtl w:val="0"/>
              </w:rPr>
              <w:t xml:space="preserve">Washington State Digital Equity Act of 2022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1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333333"/>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Defines the income working families need to meet their basic necessities without public or private assistance. Basic minimum needs include: housing, child care, food, transportation, health care, miscellaneous expenses (clothing, telephone, household items), and taxes (minus federal and state tax credits) plus an additional calculation for emergency savings. The Standard is calculated for 719 different family types for each county or area in a state.</w:t>
            </w:r>
            <w:r w:rsidDel="00000000" w:rsidR="00000000" w:rsidRPr="00000000">
              <w:rPr>
                <w:rtl w:val="0"/>
              </w:rPr>
            </w:r>
          </w:p>
        </w:tc>
      </w:tr>
    </w:tbl>
    <w:p w:rsidR="00000000" w:rsidDel="00000000" w:rsidP="00000000" w:rsidRDefault="00000000" w:rsidRPr="00000000" w14:paraId="00000025">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widowControl w:val="0"/>
        <w:spacing w:line="216" w:lineRule="auto"/>
        <w:rPr>
          <w:rFonts w:ascii="Times New Roman" w:cs="Times New Roman" w:eastAsia="Times New Roman" w:hAnsi="Times New Roman"/>
          <w:color w:val="434343"/>
        </w:rPr>
      </w:pPr>
      <w:r w:rsidDel="00000000" w:rsidR="00000000" w:rsidRPr="00000000">
        <w:rPr>
          <w:rtl w:val="0"/>
        </w:rPr>
      </w:r>
    </w:p>
    <w:p w:rsidR="00000000" w:rsidDel="00000000" w:rsidP="00000000" w:rsidRDefault="00000000" w:rsidRPr="00000000" w14:paraId="00000027">
      <w:pPr>
        <w:widowControl w:val="0"/>
        <w:spacing w:line="21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4343"/>
          <w:sz w:val="24"/>
          <w:szCs w:val="24"/>
          <w:rtl w:val="0"/>
        </w:rPr>
        <w:t xml:space="preserve">The Washington State Digital Equity Act of 2022,</w:t>
      </w:r>
      <w:r w:rsidDel="00000000" w:rsidR="00000000" w:rsidRPr="00000000">
        <w:rPr>
          <w:rFonts w:ascii="Times New Roman" w:cs="Times New Roman" w:eastAsia="Times New Roman" w:hAnsi="Times New Roman"/>
          <w:color w:val="434343"/>
          <w:sz w:val="24"/>
          <w:szCs w:val="24"/>
          <w:rtl w:val="0"/>
        </w:rPr>
        <w:t xml:space="preserve"> which created the planning process you are involved in, introduces two metrics for determining affordability. </w:t>
      </w:r>
      <w:r w:rsidDel="00000000" w:rsidR="00000000" w:rsidRPr="00000000">
        <w:rPr>
          <w:rFonts w:ascii="Times New Roman" w:cs="Times New Roman" w:eastAsia="Times New Roman" w:hAnsi="Times New Roman"/>
          <w:sz w:val="24"/>
          <w:szCs w:val="24"/>
          <w:rtl w:val="0"/>
        </w:rPr>
        <w:t xml:space="preserve">These two options address the fact that Washington State has a high cost of living generally, especially in certain counties. The Self-Sufficiency standard also considers cost of living relative to family size– which is important because families with children have much higher needs to achieve financial self-sufficiency. Thus even counties with lower cost of living, may want to assess needs for existing families or to plan for future growth. </w:t>
      </w:r>
    </w:p>
    <w:p w:rsidR="00000000" w:rsidDel="00000000" w:rsidP="00000000" w:rsidRDefault="00000000" w:rsidRPr="00000000" w14:paraId="00000028">
      <w:pPr>
        <w:widowControl w:val="0"/>
        <w:spacing w:line="21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216" w:lineRule="auto"/>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sz w:val="24"/>
          <w:szCs w:val="24"/>
          <w:rtl w:val="0"/>
        </w:rPr>
        <w:t xml:space="preserve">According to the Act, either method can provide a way to determine needs based on income</w:t>
      </w:r>
      <w:r w:rsidDel="00000000" w:rsidR="00000000" w:rsidRPr="00000000">
        <w:rPr>
          <w:rFonts w:ascii="Times New Roman" w:cs="Times New Roman" w:eastAsia="Times New Roman" w:hAnsi="Times New Roman"/>
          <w:color w:val="434343"/>
          <w:sz w:val="24"/>
          <w:szCs w:val="24"/>
          <w:rtl w:val="0"/>
        </w:rPr>
        <w:t xml:space="preserve">: </w:t>
      </w:r>
    </w:p>
    <w:p w:rsidR="00000000" w:rsidDel="00000000" w:rsidP="00000000" w:rsidRDefault="00000000" w:rsidRPr="00000000" w14:paraId="0000002A">
      <w:pPr>
        <w:widowControl w:val="0"/>
        <w:spacing w:line="216" w:lineRule="auto"/>
        <w:rPr>
          <w:rFonts w:ascii="Times New Roman" w:cs="Times New Roman" w:eastAsia="Times New Roman" w:hAnsi="Times New Roman"/>
          <w:color w:val="434343"/>
          <w:sz w:val="24"/>
          <w:szCs w:val="24"/>
        </w:rPr>
      </w:pPr>
      <w:r w:rsidDel="00000000" w:rsidR="00000000" w:rsidRPr="00000000">
        <w:rPr>
          <w:rtl w:val="0"/>
        </w:rPr>
      </w:r>
    </w:p>
    <w:p w:rsidR="00000000" w:rsidDel="00000000" w:rsidP="00000000" w:rsidRDefault="00000000" w:rsidRPr="00000000" w14:paraId="0000002B">
      <w:pPr>
        <w:widowControl w:val="0"/>
        <w:spacing w:line="216"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"Low-income" means households as defined by the department of social and health services, provided that the definition may not exceed the higher of 80 percent of area median household income or the self-sufficiency standard as determined by the University of Washington's self-sufficiency calculator.” </w:t>
      </w: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 example of the differences between these measures:</w:t>
      </w:r>
    </w:p>
    <w:p w:rsidR="00000000" w:rsidDel="00000000" w:rsidP="00000000" w:rsidRDefault="00000000" w:rsidRPr="00000000" w14:paraId="0000002F">
      <w:pPr>
        <w:widowControl w:val="0"/>
        <w:spacing w:line="240" w:lineRule="auto"/>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sz w:val="24"/>
          <w:szCs w:val="24"/>
          <w:rtl w:val="0"/>
        </w:rPr>
        <w:t xml:space="preserve">To understand how these different measures could impact your assessment of need, let’s compare these measures for a family of two (one adult and one-preschooler). This family type is considered “above” the current Federal Poverty Level if they earn more than </w:t>
      </w:r>
      <w:r w:rsidDel="00000000" w:rsidR="00000000" w:rsidRPr="00000000">
        <w:rPr>
          <w:rFonts w:ascii="Times New Roman" w:cs="Times New Roman" w:eastAsia="Times New Roman" w:hAnsi="Times New Roman"/>
          <w:color w:val="1b1b1b"/>
          <w:sz w:val="24"/>
          <w:szCs w:val="24"/>
          <w:rtl w:val="0"/>
        </w:rPr>
        <w:t xml:space="preserve">$</w:t>
      </w:r>
      <w:r w:rsidDel="00000000" w:rsidR="00000000" w:rsidRPr="00000000">
        <w:rPr>
          <w:rFonts w:ascii="Times New Roman" w:cs="Times New Roman" w:eastAsia="Times New Roman" w:hAnsi="Times New Roman"/>
          <w:b w:val="1"/>
          <w:color w:val="1b1b1b"/>
          <w:sz w:val="24"/>
          <w:szCs w:val="24"/>
          <w:rtl w:val="0"/>
        </w:rPr>
        <w:t xml:space="preserve">19,720 </w:t>
      </w:r>
      <w:r w:rsidDel="00000000" w:rsidR="00000000" w:rsidRPr="00000000">
        <w:rPr>
          <w:rFonts w:ascii="Times New Roman" w:cs="Times New Roman" w:eastAsia="Times New Roman" w:hAnsi="Times New Roman"/>
          <w:color w:val="1b1b1b"/>
          <w:sz w:val="24"/>
          <w:szCs w:val="24"/>
          <w:rtl w:val="0"/>
        </w:rPr>
        <w:t xml:space="preserve">a year. More generously, the Affordable Connectivity Program will subsidize home internet for a family of two if they are at or below 200% the federal poverty level ($39,440). </w:t>
      </w:r>
    </w:p>
    <w:p w:rsidR="00000000" w:rsidDel="00000000" w:rsidP="00000000" w:rsidRDefault="00000000" w:rsidRPr="00000000" w14:paraId="00000030">
      <w:pPr>
        <w:widowControl w:val="0"/>
        <w:spacing w:line="240" w:lineRule="auto"/>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1b1b1b"/>
          <w:sz w:val="24"/>
          <w:szCs w:val="24"/>
          <w:rtl w:val="0"/>
        </w:rPr>
        <w:t xml:space="preserve">Yet, even two hundred percent of the poverty level is likely insufficient to meet all basic living expenses such as the actual costs they incur for  housing, child care, food, transportation, health care, taxes, emergency savings and other miscellany (</w:t>
      </w:r>
      <w:r w:rsidDel="00000000" w:rsidR="00000000" w:rsidRPr="00000000">
        <w:rPr>
          <w:rFonts w:ascii="Times New Roman" w:cs="Times New Roman" w:eastAsia="Times New Roman" w:hAnsi="Times New Roman"/>
          <w:color w:val="333333"/>
          <w:sz w:val="24"/>
          <w:szCs w:val="24"/>
          <w:rtl w:val="0"/>
        </w:rPr>
        <w:t xml:space="preserve">clothing, shoes, paper products, diapers, nonprescription medicines, cleaning products, household items, personal hygiene items, and telephone service). These actual costs across </w:t>
      </w:r>
      <w:r w:rsidDel="00000000" w:rsidR="00000000" w:rsidRPr="00000000">
        <w:rPr>
          <w:rFonts w:ascii="Times New Roman" w:cs="Times New Roman" w:eastAsia="Times New Roman" w:hAnsi="Times New Roman"/>
          <w:i w:val="1"/>
          <w:color w:val="333333"/>
          <w:sz w:val="24"/>
          <w:szCs w:val="24"/>
          <w:rtl w:val="0"/>
        </w:rPr>
        <w:t xml:space="preserve">are</w:t>
      </w:r>
      <w:r w:rsidDel="00000000" w:rsidR="00000000" w:rsidRPr="00000000">
        <w:rPr>
          <w:rFonts w:ascii="Times New Roman" w:cs="Times New Roman" w:eastAsia="Times New Roman" w:hAnsi="Times New Roman"/>
          <w:color w:val="333333"/>
          <w:sz w:val="24"/>
          <w:szCs w:val="24"/>
          <w:rtl w:val="0"/>
        </w:rPr>
        <w:t xml:space="preserve"> considered in the Self-Sufficiency Standard that is stipulated as one of two ways of calculating need in the Washington State Digital Equity Act of 2022.  Conversely, actual costs across all vital living expense categories are </w:t>
      </w:r>
      <w:r w:rsidDel="00000000" w:rsidR="00000000" w:rsidRPr="00000000">
        <w:rPr>
          <w:rFonts w:ascii="Times New Roman" w:cs="Times New Roman" w:eastAsia="Times New Roman" w:hAnsi="Times New Roman"/>
          <w:i w:val="1"/>
          <w:color w:val="333333"/>
          <w:sz w:val="24"/>
          <w:szCs w:val="24"/>
          <w:rtl w:val="0"/>
        </w:rPr>
        <w:t xml:space="preserve">not </w:t>
      </w:r>
      <w:r w:rsidDel="00000000" w:rsidR="00000000" w:rsidRPr="00000000">
        <w:rPr>
          <w:rFonts w:ascii="Times New Roman" w:cs="Times New Roman" w:eastAsia="Times New Roman" w:hAnsi="Times New Roman"/>
          <w:color w:val="333333"/>
          <w:sz w:val="24"/>
          <w:szCs w:val="24"/>
          <w:rtl w:val="0"/>
        </w:rPr>
        <w:t xml:space="preserve">used to calculate the Federal Poverty Level. Rather, only one category of expenses is used to determine that calculation (minimal food expenses– think beans, rice, and peanut butter) times three. Thus, while ACP’s 200 percent above the poverty level may sound generous, it may actually leave a lot of people who are financially burdened out of eligibility. </w:t>
      </w:r>
    </w:p>
    <w:p w:rsidR="00000000" w:rsidDel="00000000" w:rsidP="00000000" w:rsidRDefault="00000000" w:rsidRPr="00000000" w14:paraId="00000032">
      <w:pPr>
        <w:widowControl w:val="0"/>
        <w:spacing w:line="24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Even the Self-Sufficiency standard which does consider a wide range of basic expenses for different localities does not allow for recreation, entertainment, savings, or debt repayment. So, though it may give a more realistic assessment of need, it does not create a set point that may be desirable to many families who, for long-term sustainability, will want measures of wealth such as savings and debt repayment. </w:t>
      </w:r>
    </w:p>
    <w:p w:rsidR="00000000" w:rsidDel="00000000" w:rsidP="00000000" w:rsidRDefault="00000000" w:rsidRPr="00000000" w14:paraId="00000034">
      <w:pPr>
        <w:widowControl w:val="0"/>
        <w:spacing w:line="24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Of the measures described above, only the Self-Sufficiency Calculator attempts to accurately capture these basic needs costs in relation to individuals or families of different ages and sizes per state or per county. </w:t>
      </w:r>
      <w:r w:rsidDel="00000000" w:rsidR="00000000" w:rsidRPr="00000000">
        <w:rPr>
          <w:rFonts w:ascii="Times New Roman" w:cs="Times New Roman" w:eastAsia="Times New Roman" w:hAnsi="Times New Roman"/>
          <w:sz w:val="24"/>
          <w:szCs w:val="24"/>
          <w:rtl w:val="0"/>
        </w:rPr>
        <w:t xml:space="preserve">Because the Calculator also considers household composition relative to cost of living, it’s possible to get a more accurate read on the needs of a specific geographic community than is possible with the other tools mentioned above (provided you know the household compositions of your area). </w:t>
      </w:r>
    </w:p>
    <w:p w:rsidR="00000000" w:rsidDel="00000000" w:rsidP="00000000" w:rsidRDefault="00000000" w:rsidRPr="00000000" w14:paraId="00000036">
      <w:pPr>
        <w:widowControl w:val="0"/>
        <w:spacing w:line="240" w:lineRule="auto"/>
        <w:rPr>
          <w:rFonts w:ascii="Times New Roman" w:cs="Times New Roman" w:eastAsia="Times New Roman" w:hAnsi="Times New Roman"/>
          <w:shd w:fill="f5f5f5" w:val="clear"/>
        </w:rPr>
      </w:pPr>
      <w:r w:rsidDel="00000000" w:rsidR="00000000" w:rsidRPr="00000000">
        <w:rPr>
          <w:rtl w:val="0"/>
        </w:rPr>
      </w:r>
    </w:p>
    <w:p w:rsidR="00000000" w:rsidDel="00000000" w:rsidP="00000000" w:rsidRDefault="00000000" w:rsidRPr="00000000" w14:paraId="00000037">
      <w:pPr>
        <w:widowControl w:val="0"/>
        <w:spacing w:line="240" w:lineRule="auto"/>
        <w:rPr>
          <w:rFonts w:ascii="Times New Roman" w:cs="Times New Roman" w:eastAsia="Times New Roman" w:hAnsi="Times New Roman"/>
          <w:shd w:fill="f5f5f5" w:val="clear"/>
        </w:rPr>
      </w:pPr>
      <w:r w:rsidDel="00000000" w:rsidR="00000000" w:rsidRPr="00000000">
        <w:rPr>
          <w:rtl w:val="0"/>
        </w:rPr>
      </w:r>
    </w:p>
    <w:tbl>
      <w:tblPr>
        <w:tblStyle w:val="Table2"/>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335"/>
        <w:gridCol w:w="1425"/>
        <w:gridCol w:w="1425"/>
        <w:gridCol w:w="1530"/>
        <w:gridCol w:w="2595"/>
        <w:tblGridChange w:id="0">
          <w:tblGrid>
            <w:gridCol w:w="1200"/>
            <w:gridCol w:w="1335"/>
            <w:gridCol w:w="1425"/>
            <w:gridCol w:w="1425"/>
            <w:gridCol w:w="1530"/>
            <w:gridCol w:w="2595"/>
          </w:tblGrid>
        </w:tblGridChange>
      </w:tblGrid>
      <w:tr>
        <w:trPr>
          <w:cantSplit w:val="0"/>
          <w:trHeight w:val="42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 COMPARISON OF NEEDS MEASURES FOR WASHINGTON STATE COUNTIES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compares the income thresholds for a One-Adult, One-Preschooler Family Household in several Washington State Counties.  In all example counties– whether higher cost or lower cost–  show substantive discrepancies between what leads to self-sufficiency for this family type and how needs are assessed by the major FCC and NTIA programs.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 County </w:t>
            </w:r>
          </w:p>
        </w:tc>
        <w:tc>
          <w:tcP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rPr>
            </w:pPr>
            <w:hyperlink r:id="rId15">
              <w:r w:rsidDel="00000000" w:rsidR="00000000" w:rsidRPr="00000000">
                <w:rPr>
                  <w:rFonts w:ascii="Times New Roman" w:cs="Times New Roman" w:eastAsia="Times New Roman" w:hAnsi="Times New Roman"/>
                  <w:b w:val="1"/>
                  <w:color w:val="1155cc"/>
                  <w:u w:val="single"/>
                  <w:rtl w:val="0"/>
                </w:rPr>
                <w:t xml:space="preserve">Self-Sufficiency Standard </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rPr>
            </w:pPr>
            <w:hyperlink r:id="rId16">
              <w:r w:rsidDel="00000000" w:rsidR="00000000" w:rsidRPr="00000000">
                <w:rPr>
                  <w:rFonts w:ascii="Times New Roman" w:cs="Times New Roman" w:eastAsia="Times New Roman" w:hAnsi="Times New Roman"/>
                  <w:b w:val="1"/>
                  <w:color w:val="1155cc"/>
                  <w:u w:val="single"/>
                  <w:rtl w:val="0"/>
                </w:rPr>
                <w:t xml:space="preserve">ACP</w:t>
              </w:r>
            </w:hyperlink>
            <w:r w:rsidDel="00000000" w:rsidR="00000000" w:rsidRPr="00000000">
              <w:rPr>
                <w:rFonts w:ascii="Times New Roman" w:cs="Times New Roman" w:eastAsia="Times New Roman" w:hAnsi="Times New Roman"/>
                <w:b w:val="1"/>
                <w:rtl w:val="0"/>
              </w:rPr>
              <w:t xml:space="preserve"> Eligibility </w:t>
            </w:r>
          </w:p>
          <w:p w:rsidR="00000000" w:rsidDel="00000000" w:rsidP="00000000" w:rsidRDefault="00000000" w:rsidRPr="00000000" w14:paraId="00000042">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 </w:t>
            </w:r>
            <w:hyperlink r:id="rId17">
              <w:r w:rsidDel="00000000" w:rsidR="00000000" w:rsidRPr="00000000">
                <w:rPr>
                  <w:rFonts w:ascii="Times New Roman" w:cs="Times New Roman" w:eastAsia="Times New Roman" w:hAnsi="Times New Roman"/>
                  <w:b w:val="1"/>
                  <w:color w:val="1155cc"/>
                  <w:u w:val="single"/>
                  <w:rtl w:val="0"/>
                </w:rPr>
                <w:t xml:space="preserve">FPL</w:t>
              </w:r>
            </w:hyperlink>
            <w:r w:rsidDel="00000000" w:rsidR="00000000" w:rsidRPr="00000000">
              <w:rPr>
                <w:rFonts w:ascii="Times New Roman" w:cs="Times New Roman" w:eastAsia="Times New Roman" w:hAnsi="Times New Roman"/>
                <w:b w:val="1"/>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b w:val="1"/>
              </w:rPr>
            </w:pPr>
            <w:hyperlink r:id="rId18">
              <w:r w:rsidDel="00000000" w:rsidR="00000000" w:rsidRPr="00000000">
                <w:rPr>
                  <w:rFonts w:ascii="Times New Roman" w:cs="Times New Roman" w:eastAsia="Times New Roman" w:hAnsi="Times New Roman"/>
                  <w:b w:val="1"/>
                  <w:color w:val="1155cc"/>
                  <w:u w:val="single"/>
                  <w:rtl w:val="0"/>
                </w:rPr>
                <w:t xml:space="preserve">BEAD</w:t>
              </w:r>
            </w:hyperlink>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4">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income </w:t>
            </w:r>
          </w:p>
          <w:p w:rsidR="00000000" w:rsidDel="00000000" w:rsidP="00000000" w:rsidRDefault="00000000" w:rsidRPr="00000000" w14:paraId="00000045">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 </w:t>
            </w:r>
            <w:hyperlink r:id="rId19">
              <w:r w:rsidDel="00000000" w:rsidR="00000000" w:rsidRPr="00000000">
                <w:rPr>
                  <w:rFonts w:ascii="Times New Roman" w:cs="Times New Roman" w:eastAsia="Times New Roman" w:hAnsi="Times New Roman"/>
                  <w:b w:val="1"/>
                  <w:color w:val="1155cc"/>
                  <w:u w:val="single"/>
                  <w:rtl w:val="0"/>
                </w:rPr>
                <w:t xml:space="preserve">FPL</w:t>
              </w:r>
            </w:hyperlink>
            <w:r w:rsidDel="00000000" w:rsidR="00000000" w:rsidRPr="00000000">
              <w:rPr>
                <w:rFonts w:ascii="Times New Roman" w:cs="Times New Roman" w:eastAsia="Times New Roman" w:hAnsi="Times New Roman"/>
                <w:b w:val="1"/>
                <w:rtl w:val="0"/>
              </w:rPr>
              <w:t xml:space="preserve"> for two person family) *</w:t>
            </w:r>
          </w:p>
        </w:tc>
        <w:tc>
          <w:tcPr>
            <w:tcMar>
              <w:top w:w="100.0" w:type="dxa"/>
              <w:left w:w="100.0" w:type="dxa"/>
              <w:bottom w:w="100.0" w:type="dxa"/>
              <w:right w:w="100.0" w:type="dxa"/>
            </w:tcMar>
            <w:vAlign w:val="top"/>
          </w:tcPr>
          <w:p w:rsidR="00000000" w:rsidDel="00000000" w:rsidP="00000000" w:rsidRDefault="00000000" w:rsidRPr="00000000" w14:paraId="00000046">
            <w:pPr>
              <w:widowControl w:val="0"/>
              <w:spacing w:line="216" w:lineRule="auto"/>
              <w:rPr>
                <w:rFonts w:ascii="Times New Roman" w:cs="Times New Roman" w:eastAsia="Times New Roman" w:hAnsi="Times New Roman"/>
                <w:b w:val="1"/>
              </w:rPr>
            </w:pPr>
            <w:hyperlink r:id="rId20">
              <w:r w:rsidDel="00000000" w:rsidR="00000000" w:rsidRPr="00000000">
                <w:rPr>
                  <w:rFonts w:ascii="Times New Roman" w:cs="Times New Roman" w:eastAsia="Times New Roman" w:hAnsi="Times New Roman"/>
                  <w:b w:val="1"/>
                  <w:color w:val="1155cc"/>
                  <w:u w:val="single"/>
                  <w:rtl w:val="0"/>
                </w:rPr>
                <w:t xml:space="preserve">U.S. Federal Poverty Level</w:t>
              </w:r>
            </w:hyperlink>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7">
            <w:pPr>
              <w:widowControl w:val="0"/>
              <w:spacing w:line="21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(yearly for a two person family) </w:t>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spacing w:line="21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Self-Sufficiency Gap by these measures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King </w:t>
            </w:r>
          </w:p>
        </w:tc>
        <w:tc>
          <w:tcP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$85357</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$39440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$29580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$19,720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$45917 - $65637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Stevens </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pBdr>
                <w:top w:color="auto" w:space="0" w:sz="0" w:val="none"/>
                <w:bottom w:color="auto" w:space="0" w:sz="0" w:val="none"/>
                <w:right w:color="auto" w:space="0" w:sz="0" w:val="none"/>
                <w:between w:color="auto" w:space="0" w:sz="0" w:val="none"/>
              </w:pBdr>
              <w:spacing w:before="3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$48510</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$39440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$29580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$19,720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$9070  - $28790</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Ferry </w:t>
            </w:r>
          </w:p>
        </w:tc>
        <w:tc>
          <w:tcP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$47566</w:t>
            </w:r>
          </w:p>
        </w:tc>
        <w:tc>
          <w:tcP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$39440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$29580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$19,720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$8126  - $27846</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Grays Harbor</w:t>
            </w:r>
          </w:p>
        </w:tc>
        <w:tc>
          <w:tcP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$57794</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$39440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$29580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$19,720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$18354 - $38074</w:t>
            </w:r>
            <w:r w:rsidDel="00000000" w:rsidR="00000000" w:rsidRPr="00000000">
              <w:rPr>
                <w:rtl w:val="0"/>
              </w:rPr>
            </w:r>
          </w:p>
        </w:tc>
      </w:tr>
      <w:tr>
        <w:trPr>
          <w:cantSplit w:val="0"/>
          <w:trHeight w:val="459.04296874999994" w:hRule="atLeast"/>
          <w:tblHeader w:val="0"/>
        </w:trPr>
        <w:tc>
          <w:tcP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Pacific </w:t>
            </w:r>
          </w:p>
        </w:tc>
        <w:tc>
          <w:tcP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$71505</w:t>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$39440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$29580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$19,720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$32065 - $51785</w:t>
            </w:r>
            <w:r w:rsidDel="00000000" w:rsidR="00000000" w:rsidRPr="00000000">
              <w:rPr>
                <w:rtl w:val="0"/>
              </w:rPr>
            </w:r>
          </w:p>
        </w:tc>
      </w:tr>
      <w:tr>
        <w:trPr>
          <w:cantSplit w:val="0"/>
          <w:trHeight w:val="414.04296874999994" w:hRule="atLeast"/>
          <w:tblHeader w:val="0"/>
        </w:trPr>
        <w:tc>
          <w:tcP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Thurston</w:t>
            </w:r>
          </w:p>
        </w:tc>
        <w:tc>
          <w:tcP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$59008</w:t>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$39440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$29580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b1b"/>
                <w:rtl w:val="0"/>
              </w:rPr>
              <w:t xml:space="preserve">$19,720</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$19568  - $39440</w:t>
            </w:r>
            <w:r w:rsidDel="00000000" w:rsidR="00000000" w:rsidRPr="00000000">
              <w:rPr>
                <w:rtl w:val="0"/>
              </w:rPr>
            </w:r>
          </w:p>
        </w:tc>
      </w:tr>
    </w:tbl>
    <w:p w:rsidR="00000000" w:rsidDel="00000000" w:rsidP="00000000" w:rsidRDefault="00000000" w:rsidRPr="00000000" w14:paraId="0000006D">
      <w:pPr>
        <w:widowControl w:val="0"/>
        <w:spacing w:line="240" w:lineRule="auto"/>
        <w:rPr>
          <w:rFonts w:ascii="Times New Roman" w:cs="Times New Roman" w:eastAsia="Times New Roman" w:hAnsi="Times New Roman"/>
          <w:shd w:fill="f5f5f5" w:val="clear"/>
        </w:rPr>
      </w:pP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shd w:fill="f5f5f5" w:val="clear"/>
        </w:rPr>
      </w:pPr>
      <w:r w:rsidDel="00000000" w:rsidR="00000000" w:rsidRPr="00000000">
        <w:rPr>
          <w:rtl w:val="0"/>
        </w:rPr>
      </w:r>
    </w:p>
    <w:p w:rsidR="00000000" w:rsidDel="00000000" w:rsidP="00000000" w:rsidRDefault="00000000" w:rsidRPr="00000000" w14:paraId="0000006F">
      <w:pPr>
        <w:pStyle w:val="Heading2"/>
        <w:widowControl w:val="0"/>
        <w:spacing w:line="240" w:lineRule="auto"/>
        <w:rPr>
          <w:rFonts w:ascii="Times New Roman" w:cs="Times New Roman" w:eastAsia="Times New Roman" w:hAnsi="Times New Roman"/>
          <w:b w:val="1"/>
          <w:color w:val="980000"/>
        </w:rPr>
      </w:pPr>
      <w:bookmarkStart w:colFirst="0" w:colLast="0" w:name="_p48yait0n1gw" w:id="4"/>
      <w:bookmarkEnd w:id="4"/>
      <w:r w:rsidDel="00000000" w:rsidR="00000000" w:rsidRPr="00000000">
        <w:rPr>
          <w:rFonts w:ascii="Times New Roman" w:cs="Times New Roman" w:eastAsia="Times New Roman" w:hAnsi="Times New Roman"/>
          <w:b w:val="1"/>
          <w:color w:val="980000"/>
          <w:rtl w:val="0"/>
        </w:rPr>
        <w:t xml:space="preserve">Exercising your own judgment to define need in your community </w:t>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reason to dig into the details of income-based need in your community is that it will play into the</w:t>
      </w:r>
      <w:hyperlink r:id="rId21">
        <w:r w:rsidDel="00000000" w:rsidR="00000000" w:rsidRPr="00000000">
          <w:rPr>
            <w:rFonts w:ascii="Times New Roman" w:cs="Times New Roman" w:eastAsia="Times New Roman" w:hAnsi="Times New Roman"/>
            <w:color w:val="1155cc"/>
            <w:sz w:val="24"/>
            <w:szCs w:val="24"/>
            <w:u w:val="single"/>
            <w:rtl w:val="0"/>
          </w:rPr>
          <w:t xml:space="preserve"> ranking and prioritizing of future BEAD grants</w:t>
        </w:r>
      </w:hyperlink>
      <w:r w:rsidDel="00000000" w:rsidR="00000000" w:rsidRPr="00000000">
        <w:rPr>
          <w:rFonts w:ascii="Times New Roman" w:cs="Times New Roman" w:eastAsia="Times New Roman" w:hAnsi="Times New Roman"/>
          <w:sz w:val="24"/>
          <w:szCs w:val="24"/>
          <w:rtl w:val="0"/>
        </w:rPr>
        <w:t xml:space="preserve"> as discussed here in guidance from the grant program: </w:t>
      </w:r>
    </w:p>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“With respect to the deployment of last-mile broadband infrastructure, the Program prioritizes projects designed to provide fiber connectivity directly to the end user. It also requires all projects to provide a low-cost option to eligible subscribers, requires all states to have plans to address middle-class affordability, and further prioritizes proposals that improve affordability to ensure that networks built using taxpayer dollars are accessible to all Americans. </w:t>
      </w:r>
      <w:r w:rsidDel="00000000" w:rsidR="00000000" w:rsidRPr="00000000">
        <w:rPr>
          <w:rFonts w:ascii="Times New Roman" w:cs="Times New Roman" w:eastAsia="Times New Roman" w:hAnsi="Times New Roman"/>
          <w:b w:val="1"/>
          <w:i w:val="1"/>
          <w:sz w:val="24"/>
          <w:szCs w:val="24"/>
          <w:shd w:fill="cfe2f3" w:val="clear"/>
          <w:rtl w:val="0"/>
        </w:rPr>
        <w:t xml:space="preserve">The framework set out below will provide Eligible Entities flexibility to pursue deployments in the manner best suited to their populations </w:t>
      </w:r>
      <w:r w:rsidDel="00000000" w:rsidR="00000000" w:rsidRPr="00000000">
        <w:rPr>
          <w:rFonts w:ascii="Times New Roman" w:cs="Times New Roman" w:eastAsia="Times New Roman" w:hAnsi="Times New Roman"/>
          <w:i w:val="1"/>
          <w:sz w:val="24"/>
          <w:szCs w:val="24"/>
          <w:rtl w:val="0"/>
        </w:rPr>
        <w:t xml:space="preserve">– including, for example, the deployment of Wi-Fi service within multi-family buildings.” </w:t>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shd w:fill="f5f5f5" w:val="clear"/>
        </w:rPr>
      </w:pPr>
      <w:r w:rsidDel="00000000" w:rsidR="00000000" w:rsidRPr="00000000">
        <w:rPr>
          <w:rtl w:val="0"/>
        </w:rPr>
      </w:r>
    </w:p>
    <w:p w:rsidR="00000000" w:rsidDel="00000000" w:rsidP="00000000" w:rsidRDefault="00000000" w:rsidRPr="00000000" w14:paraId="00000074">
      <w:pPr>
        <w:widowControl w:val="0"/>
        <w:spacing w:line="216" w:lineRule="auto"/>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sz w:val="24"/>
          <w:szCs w:val="24"/>
          <w:rtl w:val="0"/>
        </w:rPr>
        <w:t xml:space="preserve">Note the intention stated in the bolded text above of the program is to enable communities </w:t>
      </w:r>
      <w:r w:rsidDel="00000000" w:rsidR="00000000" w:rsidRPr="00000000">
        <w:rPr>
          <w:rFonts w:ascii="Times New Roman" w:cs="Times New Roman" w:eastAsia="Times New Roman" w:hAnsi="Times New Roman"/>
          <w:sz w:val="24"/>
          <w:szCs w:val="24"/>
          <w:rtl w:val="0"/>
        </w:rPr>
        <w:t xml:space="preserve">flexibility in how they assess need and make the case for it.  </w:t>
      </w:r>
      <w:r w:rsidDel="00000000" w:rsidR="00000000" w:rsidRPr="00000000">
        <w:rPr>
          <w:rFonts w:ascii="Times New Roman" w:cs="Times New Roman" w:eastAsia="Times New Roman" w:hAnsi="Times New Roman"/>
          <w:color w:val="434343"/>
          <w:sz w:val="24"/>
          <w:szCs w:val="24"/>
          <w:rtl w:val="0"/>
        </w:rPr>
        <w:t xml:space="preserve">An important aspect to the flexibility is that BEAD’s guidance to assess at </w:t>
      </w:r>
      <w:r w:rsidDel="00000000" w:rsidR="00000000" w:rsidRPr="00000000">
        <w:rPr>
          <w:rFonts w:ascii="Times New Roman" w:cs="Times New Roman" w:eastAsia="Times New Roman" w:hAnsi="Times New Roman"/>
          <w:color w:val="434343"/>
          <w:sz w:val="24"/>
          <w:szCs w:val="24"/>
          <w:rtl w:val="0"/>
        </w:rPr>
        <w:t xml:space="preserve">150% of poverty level guidance for determining need can be simply a starting point on which several other possible types of data and measures can be considered by communities. See page 12 of</w:t>
      </w:r>
      <w:hyperlink r:id="rId22">
        <w:r w:rsidDel="00000000" w:rsidR="00000000" w:rsidRPr="00000000">
          <w:rPr>
            <w:rFonts w:ascii="Times New Roman" w:cs="Times New Roman" w:eastAsia="Times New Roman" w:hAnsi="Times New Roman"/>
            <w:color w:val="1155cc"/>
            <w:sz w:val="24"/>
            <w:szCs w:val="24"/>
            <w:u w:val="single"/>
            <w:rtl w:val="0"/>
          </w:rPr>
          <w:t xml:space="preserve"> the 2022  BEAD NOFO</w:t>
        </w:r>
      </w:hyperlink>
      <w:r w:rsidDel="00000000" w:rsidR="00000000" w:rsidRPr="00000000">
        <w:rPr>
          <w:rFonts w:ascii="Times New Roman" w:cs="Times New Roman" w:eastAsia="Times New Roman" w:hAnsi="Times New Roman"/>
          <w:color w:val="434343"/>
          <w:sz w:val="24"/>
          <w:szCs w:val="24"/>
          <w:rtl w:val="0"/>
        </w:rPr>
        <w:t xml:space="preserve"> (the most current available as we write this) for a list of many other ways </w:t>
      </w:r>
      <w:r w:rsidDel="00000000" w:rsidR="00000000" w:rsidRPr="00000000">
        <w:rPr>
          <w:rFonts w:ascii="Times New Roman" w:cs="Times New Roman" w:eastAsia="Times New Roman" w:hAnsi="Times New Roman"/>
          <w:color w:val="434343"/>
          <w:rtl w:val="0"/>
        </w:rPr>
        <w:t xml:space="preserve">that need might be assessed : </w:t>
      </w:r>
    </w:p>
    <w:p w:rsidR="00000000" w:rsidDel="00000000" w:rsidP="00000000" w:rsidRDefault="00000000" w:rsidRPr="00000000" w14:paraId="00000075">
      <w:pPr>
        <w:widowControl w:val="0"/>
        <w:spacing w:line="216" w:lineRule="auto"/>
        <w:rPr>
          <w:rFonts w:ascii="Times New Roman" w:cs="Times New Roman" w:eastAsia="Times New Roman" w:hAnsi="Times New Roman"/>
          <w:color w:val="434343"/>
        </w:rPr>
      </w:pPr>
      <w:r w:rsidDel="00000000" w:rsidR="00000000" w:rsidRPr="00000000">
        <w:rPr>
          <w:rtl w:val="0"/>
        </w:rPr>
      </w:r>
    </w:p>
    <w:p w:rsidR="00000000" w:rsidDel="00000000" w:rsidP="00000000" w:rsidRDefault="00000000" w:rsidRPr="00000000" w14:paraId="00000076">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w:t>
      </w:r>
      <w:hyperlink r:id="rId23">
        <w:r w:rsidDel="00000000" w:rsidR="00000000" w:rsidRPr="00000000">
          <w:rPr>
            <w:rFonts w:ascii="Times New Roman" w:cs="Times New Roman" w:eastAsia="Times New Roman" w:hAnsi="Times New Roman"/>
            <w:i w:val="1"/>
            <w:color w:val="1155cc"/>
            <w:sz w:val="24"/>
            <w:szCs w:val="24"/>
            <w:u w:val="single"/>
            <w:rtl w:val="0"/>
          </w:rPr>
          <w:t xml:space="preserve">(j) </w:t>
        </w:r>
      </w:hyperlink>
      <w:hyperlink r:id="rId24">
        <w:r w:rsidDel="00000000" w:rsidR="00000000" w:rsidRPr="00000000">
          <w:rPr>
            <w:rFonts w:ascii="Times New Roman" w:cs="Times New Roman" w:eastAsia="Times New Roman" w:hAnsi="Times New Roman"/>
            <w:i w:val="1"/>
            <w:color w:val="1155cc"/>
            <w:sz w:val="24"/>
            <w:szCs w:val="24"/>
            <w:u w:val="single"/>
            <w:rtl w:val="0"/>
          </w:rPr>
          <w:t xml:space="preserve">Eligible Subscriber—The term “Eligible Subscriber </w:t>
        </w:r>
      </w:hyperlink>
      <w:r w:rsidDel="00000000" w:rsidR="00000000" w:rsidRPr="00000000">
        <w:rPr>
          <w:rFonts w:ascii="Times New Roman" w:cs="Times New Roman" w:eastAsia="Times New Roman" w:hAnsi="Times New Roman"/>
          <w:i w:val="1"/>
          <w:color w:val="434343"/>
          <w:sz w:val="24"/>
          <w:szCs w:val="24"/>
          <w:rtl w:val="0"/>
        </w:rPr>
        <w:t xml:space="preserve">means any household seeking to subscribe to broadband internet access service that (1) qualifies for the Affordable Connectivity Program (ACP) or any successor program, or (2) is a member of a household that meets any of the following criteria: </w:t>
      </w:r>
    </w:p>
    <w:p w:rsidR="00000000" w:rsidDel="00000000" w:rsidP="00000000" w:rsidRDefault="00000000" w:rsidRPr="00000000" w14:paraId="00000077">
      <w:pPr>
        <w:widowControl w:val="0"/>
        <w:spacing w:line="216" w:lineRule="auto"/>
        <w:ind w:left="720" w:firstLine="0"/>
        <w:rPr>
          <w:rFonts w:ascii="Times New Roman" w:cs="Times New Roman" w:eastAsia="Times New Roman" w:hAnsi="Times New Roman"/>
          <w:b w:val="1"/>
          <w:i w:val="1"/>
          <w:color w:val="434343"/>
          <w:sz w:val="24"/>
          <w:szCs w:val="24"/>
        </w:rPr>
      </w:pPr>
      <w:r w:rsidDel="00000000" w:rsidR="00000000" w:rsidRPr="00000000">
        <w:rPr>
          <w:rtl w:val="0"/>
        </w:rPr>
      </w:r>
    </w:p>
    <w:p w:rsidR="00000000" w:rsidDel="00000000" w:rsidP="00000000" w:rsidRDefault="00000000" w:rsidRPr="00000000" w14:paraId="00000078">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A) Household income for the most recently completed calendar year was at or below 200 percent of the Federal Poverty Guidelines; </w:t>
      </w:r>
    </w:p>
    <w:p w:rsidR="00000000" w:rsidDel="00000000" w:rsidP="00000000" w:rsidRDefault="00000000" w:rsidRPr="00000000" w14:paraId="00000079">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7A">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B) Any member of the household receives benefits under the Supplemental Nutrition Assistance Program, Medicaid, Federal Public Housing Assistance, Supplemental Security Income, Veterans and Survivors Pension benefit, or Special Supplemental Nutrition Program for Women, Infants, and Children; </w:t>
      </w:r>
    </w:p>
    <w:p w:rsidR="00000000" w:rsidDel="00000000" w:rsidP="00000000" w:rsidRDefault="00000000" w:rsidRPr="00000000" w14:paraId="0000007B">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7C">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C) Any member of the household participates in Tribal specific assistance programs, such as Bureau of Indian Affairs General Assistance, Tribal TANF, Tribal Head Start, or Food Distribution Program on Indian Reservations; </w:t>
      </w:r>
    </w:p>
    <w:p w:rsidR="00000000" w:rsidDel="00000000" w:rsidP="00000000" w:rsidRDefault="00000000" w:rsidRPr="00000000" w14:paraId="0000007D">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7E">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D) Any member of the household has applied for and been approved to receive benefits under the National School Lunch Program or the School Breakfast Program, or at least one member of the household is enrolled in a school or school district that participates in the USDA Community Eligibility Provision; </w:t>
      </w:r>
    </w:p>
    <w:p w:rsidR="00000000" w:rsidDel="00000000" w:rsidP="00000000" w:rsidRDefault="00000000" w:rsidRPr="00000000" w14:paraId="0000007F">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80">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E) Any member of the household received a Federal Pell Grant during the current award year; NTIA adopts the definition for “digital equity” set forth in Title III of the Infrastructure Act. See Section 60302(10) of the Infrastructure Act. The Affordable Connectivity Program was established in the Infrastructure Act as the successor to a previous program that has since been discontinued. The Commission in 2022 issued the Affordable Connectivity Program Report and Order, which sets out details regarding the ACP’s operation. See Affordable Connectivity Program, Report and Order and Further Notice of Proposed Rulemaking, FCC 22-2, (rel. Jan. 21, 2022). Notice of Funding Opportunity – 13 </w:t>
      </w:r>
    </w:p>
    <w:p w:rsidR="00000000" w:rsidDel="00000000" w:rsidP="00000000" w:rsidRDefault="00000000" w:rsidRPr="00000000" w14:paraId="00000081">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82">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F) The household meets the eligibility criteria for a participating provider's existing low income internet program; or </w:t>
      </w:r>
    </w:p>
    <w:p w:rsidR="00000000" w:rsidDel="00000000" w:rsidP="00000000" w:rsidRDefault="00000000" w:rsidRPr="00000000" w14:paraId="00000083">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84">
      <w:pPr>
        <w:widowControl w:val="0"/>
        <w:spacing w:line="216" w:lineRule="auto"/>
        <w:ind w:left="720" w:firstLine="0"/>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G) The household satisfies any other additional criteria proposed by the Eligible Entity in its Initial Proposal and Final Proposal and approved by the Assistant Secretary.</w:t>
      </w:r>
    </w:p>
    <w:p w:rsidR="00000000" w:rsidDel="00000000" w:rsidP="00000000" w:rsidRDefault="00000000" w:rsidRPr="00000000" w14:paraId="00000085">
      <w:pPr>
        <w:widowControl w:val="0"/>
        <w:spacing w:line="216" w:lineRule="auto"/>
        <w:ind w:left="720" w:firstLine="0"/>
        <w:rPr>
          <w:rFonts w:ascii="Times New Roman" w:cs="Times New Roman" w:eastAsia="Times New Roman" w:hAnsi="Times New Roman"/>
          <w:color w:val="434343"/>
        </w:rPr>
      </w:pPr>
      <w:r w:rsidDel="00000000" w:rsidR="00000000" w:rsidRPr="00000000">
        <w:rPr>
          <w:rtl w:val="0"/>
        </w:rPr>
      </w:r>
    </w:p>
    <w:p w:rsidR="00000000" w:rsidDel="00000000" w:rsidP="00000000" w:rsidRDefault="00000000" w:rsidRPr="00000000" w14:paraId="00000086">
      <w:pPr>
        <w:widowControl w:val="0"/>
        <w:spacing w:line="216" w:lineRule="auto"/>
        <w:ind w:left="720" w:firstLine="0"/>
        <w:rPr>
          <w:rFonts w:ascii="Times New Roman" w:cs="Times New Roman" w:eastAsia="Times New Roman" w:hAnsi="Times New Roman"/>
          <w:color w:val="434343"/>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sectPr>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spe.hhs.gov/topics/poverty-economic-mobility/poverty-guidelines" TargetMode="External"/><Relationship Id="rId22" Type="http://schemas.openxmlformats.org/officeDocument/2006/relationships/hyperlink" Target="https://broadbandusa.ntia.doc.gov/sites/default/files/2022-05/BEAD%20NOFO.pdf" TargetMode="External"/><Relationship Id="rId21" Type="http://schemas.openxmlformats.org/officeDocument/2006/relationships/hyperlink" Target="https://broadbandusa.ntia.doc.gov/sites/default/files/2022-05/BEAD%20NOFO.pdf" TargetMode="External"/><Relationship Id="rId24" Type="http://schemas.openxmlformats.org/officeDocument/2006/relationships/hyperlink" Target="https://broadbandusa.ntia.doc.gov/sites/default/files/2022-05/BEAD%20NOFO.pdf" TargetMode="External"/><Relationship Id="rId23" Type="http://schemas.openxmlformats.org/officeDocument/2006/relationships/hyperlink" Target="https://broadbandusa.ntia.doc.gov/sites/default/files/2022-05/BEAD%20NOFO.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oadbandusa.ntia.doc.gov/"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spe.hhs.gov/topics/poverty-economic-mobility/poverty-guidelines" TargetMode="External"/><Relationship Id="rId8" Type="http://schemas.openxmlformats.org/officeDocument/2006/relationships/hyperlink" Target="https://aspe.hhs.gov/topics/poverty-economic-mobility/poverty-guidelines" TargetMode="External"/><Relationship Id="rId11" Type="http://schemas.openxmlformats.org/officeDocument/2006/relationships/hyperlink" Target="https://aspe.hhs.gov/topics/poverty-economic-mobility/poverty-guidelines" TargetMode="External"/><Relationship Id="rId10" Type="http://schemas.openxmlformats.org/officeDocument/2006/relationships/hyperlink" Target="https://broadbandusa.ntia.doc.gov/resources/federal/federal-funding/department-commerce-broadband-equity-access-and-deployment" TargetMode="External"/><Relationship Id="rId13" Type="http://schemas.openxmlformats.org/officeDocument/2006/relationships/hyperlink" Target="https://selfsufficiencystandard.org/Washington/" TargetMode="External"/><Relationship Id="rId12" Type="http://schemas.openxmlformats.org/officeDocument/2006/relationships/hyperlink" Target="https://www.fcc.gov/acp" TargetMode="External"/><Relationship Id="rId15" Type="http://schemas.openxmlformats.org/officeDocument/2006/relationships/hyperlink" Target="https://www.thecalculator.org/calculator.php" TargetMode="External"/><Relationship Id="rId14" Type="http://schemas.openxmlformats.org/officeDocument/2006/relationships/hyperlink" Target="https://www.thecalculator.org/" TargetMode="External"/><Relationship Id="rId17" Type="http://schemas.openxmlformats.org/officeDocument/2006/relationships/hyperlink" Target="https://aspe.hhs.gov/topics/poverty-economic-mobility/poverty-guidelines" TargetMode="External"/><Relationship Id="rId16" Type="http://schemas.openxmlformats.org/officeDocument/2006/relationships/hyperlink" Target="https://www.fcc.gov/acp" TargetMode="External"/><Relationship Id="rId19" Type="http://schemas.openxmlformats.org/officeDocument/2006/relationships/hyperlink" Target="https://aspe.hhs.gov/topics/poverty-economic-mobility/poverty-guidelines" TargetMode="External"/><Relationship Id="rId18" Type="http://schemas.openxmlformats.org/officeDocument/2006/relationships/hyperlink" Target="https://broadbandusa.ntia.doc.gov/funding-programs/broadband-equity-access-and-deployment-bead-progra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